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957" w:rsidRPr="009A2874" w:rsidRDefault="009A2874" w:rsidP="00E11881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X Международный студенческий конкурс</w:t>
      </w:r>
    </w:p>
    <w:p w:rsidR="004F5957" w:rsidRPr="009A2874" w:rsidRDefault="009A2874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“</w:t>
      </w:r>
      <w:proofErr w:type="spellStart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Масс-Медиа</w:t>
      </w:r>
      <w:proofErr w:type="spellEnd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Перспектива -2013”</w:t>
      </w:r>
    </w:p>
    <w:p w:rsidR="004F5957" w:rsidRPr="009A2874" w:rsidRDefault="009A2874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Санкт-Петербургский государственный университет</w:t>
      </w:r>
    </w:p>
    <w:p w:rsidR="004F5957" w:rsidRPr="009A2874" w:rsidRDefault="009A2874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Институт Высшая школа журналистики и массовых коммуникаций </w:t>
      </w: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Баранкин</w:t>
      </w:r>
      <w:proofErr w:type="spellEnd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, будь человеком! Молодежные инициативы по защите окружающей среды</w:t>
      </w: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Авторы проекта:</w:t>
      </w: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студенты 2 курса СПбГУ</w:t>
      </w:r>
    </w:p>
    <w:p w:rsidR="004F5957" w:rsidRPr="009A2874" w:rsidRDefault="00907063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ф-та прикладных</w:t>
      </w:r>
      <w:r w:rsidR="009A2874"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коммуникаций</w:t>
      </w: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Арина </w:t>
      </w:r>
      <w:proofErr w:type="spellStart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Артюх</w:t>
      </w:r>
      <w:proofErr w:type="spellEnd"/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Анастасия Зубова</w:t>
      </w: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Аделина Ишмуратова</w:t>
      </w: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Яна Митяева</w:t>
      </w:r>
    </w:p>
    <w:p w:rsidR="004F5957" w:rsidRPr="009A2874" w:rsidRDefault="009A2874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Инна </w:t>
      </w:r>
      <w:proofErr w:type="spellStart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Ременяк</w:t>
      </w:r>
      <w:proofErr w:type="spellEnd"/>
    </w:p>
    <w:p w:rsidR="004F5957" w:rsidRPr="009A2874" w:rsidRDefault="004F5957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Default="004F5957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E11881" w:rsidRDefault="00E11881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E11881" w:rsidRDefault="00E11881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E11881" w:rsidRDefault="00E11881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E11881" w:rsidRPr="009A2874" w:rsidRDefault="00E11881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 w:rsidP="00E11881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Санкт-Петербург</w:t>
      </w:r>
    </w:p>
    <w:p w:rsidR="009A2874" w:rsidRPr="009A2874" w:rsidRDefault="009A2874" w:rsidP="00E11881">
      <w:pPr>
        <w:pStyle w:val="normal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2013</w:t>
      </w: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br w:type="page"/>
      </w:r>
    </w:p>
    <w:p w:rsidR="00E11881" w:rsidRPr="00E11881" w:rsidRDefault="00E11881" w:rsidP="00E11881">
      <w:pPr>
        <w:pStyle w:val="a7"/>
        <w:jc w:val="center"/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/>
          <w:bCs/>
          <w:color w:val="auto"/>
          <w:sz w:val="24"/>
        </w:rPr>
        <w:id w:val="265049091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:rsidR="009A2874" w:rsidRPr="009A2874" w:rsidRDefault="009A2874" w:rsidP="00E11881">
          <w:pPr>
            <w:pStyle w:val="normal"/>
            <w:ind w:firstLine="700"/>
            <w:jc w:val="center"/>
            <w:rPr>
              <w:rFonts w:ascii="Times New Roman" w:hAnsi="Times New Roman" w:cs="Times New Roman"/>
            </w:rPr>
          </w:pPr>
          <w:r w:rsidRPr="00E11881">
            <w:rPr>
              <w:rFonts w:ascii="Times New Roman" w:hAnsi="Times New Roman" w:cs="Times New Roman"/>
            </w:rPr>
            <w:t xml:space="preserve"> </w:t>
          </w:r>
        </w:p>
        <w:p w:rsidR="009A2874" w:rsidRPr="009A2874" w:rsidRDefault="00837BC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37BC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="009A2874" w:rsidRPr="009A28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37BC4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r w:rsidR="009A2874"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Введение</w:t>
          </w:r>
          <w:r w:rsidR="009A2874"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="009A2874"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_Toc244533458 \h </w:instrTex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="009A2874" w:rsidRPr="009A2874">
            <w:rPr>
              <w:rFonts w:ascii="Times New Roman" w:hAnsi="Times New Roman" w:cs="Times New Roman"/>
              <w:noProof/>
              <w:sz w:val="28"/>
              <w:szCs w:val="28"/>
            </w:rPr>
            <w:t>3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Исследование проблемы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_Toc244533459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План реализации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_Toc244533460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Цели и задачи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_Toc244533461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9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Проблема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_Toc244533462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0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Квест по городу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_Toc244533463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11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Ежегодные ярмарки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_Toc244533464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12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Лекторий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_Toc244533465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Заключение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_Toc244533466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9A2874">
          <w:pPr>
            <w:pStyle w:val="10"/>
            <w:tabs>
              <w:tab w:val="right" w:leader="dot" w:pos="9350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A2874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w:t>Смета</w:t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ab/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begin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instrText xml:space="preserve"> PAGEREF _Toc244533467 \h </w:instrTex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separate"/>
          </w:r>
          <w:r w:rsidRPr="009A2874">
            <w:rPr>
              <w:rFonts w:ascii="Times New Roman" w:hAnsi="Times New Roman" w:cs="Times New Roman"/>
              <w:noProof/>
              <w:sz w:val="28"/>
              <w:szCs w:val="28"/>
            </w:rPr>
            <w:t>17</w:t>
          </w:r>
          <w:r w:rsidR="00837BC4" w:rsidRPr="009A2874"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9A2874" w:rsidRPr="009A2874" w:rsidRDefault="00837BC4">
          <w:pPr>
            <w:rPr>
              <w:rFonts w:ascii="Times New Roman" w:hAnsi="Times New Roman" w:cs="Times New Roman"/>
              <w:sz w:val="28"/>
              <w:szCs w:val="28"/>
            </w:rPr>
          </w:pPr>
          <w:r w:rsidRPr="009A2874">
            <w:rPr>
              <w:rFonts w:ascii="Times New Roman" w:hAnsi="Times New Roman" w:cs="Times New Roman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4F5957" w:rsidRPr="009A2874" w:rsidRDefault="004F5957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F5957" w:rsidRPr="009A2874" w:rsidRDefault="004F5957">
      <w:pPr>
        <w:pStyle w:val="1"/>
        <w:ind w:firstLine="700"/>
        <w:contextualSpacing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h.6r1yw0ms8mm9" w:colFirst="0" w:colLast="0"/>
      <w:bookmarkEnd w:id="1"/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2" w:name="h.7jxvmn6uemrw" w:colFirst="0" w:colLast="0"/>
      <w:bookmarkEnd w:id="2"/>
    </w:p>
    <w:p w:rsidR="004F5957" w:rsidRPr="00E11881" w:rsidRDefault="009A2874">
      <w:pPr>
        <w:pStyle w:val="1"/>
        <w:ind w:firstLine="700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h.esjmn2cldk7m" w:colFirst="0" w:colLast="0"/>
      <w:bookmarkStart w:id="4" w:name="_Toc244533458"/>
      <w:bookmarkEnd w:id="3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4"/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настоящее время вопросы защиты окружающей среды и экологической безопасности становятся все более и более острыми. Все чаще мы слышим о стихийных бедствиях и экологических катастрофах.</w:t>
      </w:r>
    </w:p>
    <w:p w:rsidR="004F5957" w:rsidRPr="009A2874" w:rsidRDefault="009A2874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связи с этим уже сейчас во всех развитых странах активисты бьют тревогу и всеми силами пытаются обратить всеобщее внимание на глобальные проблемы человечества связанные с охраной окружающей среды с целью предотвратить возможные экологические кризисы.</w:t>
      </w:r>
    </w:p>
    <w:p w:rsidR="004F5957" w:rsidRPr="009A2874" w:rsidRDefault="009A2874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Проблема действительно уже приняла международный масштаб и, что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самое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важное, последствия пассивности граждан при ее решения примут необратимый характер и затронут каждого. Многие люди задумываются о способах разрешения сложившейся экологической ситуации, но ввиду ее глобального характера считают свои действия малоэффективными, и как следствие, уходят от ее решения. Еще одним немаловажным аспектом проблемы является довольно высокая доля людей, задумывающихся о рациональном использовании природных ресурсов, исходя из исключительно материальных интересов.</w:t>
      </w:r>
    </w:p>
    <w:p w:rsidR="004F5957" w:rsidRPr="009A2874" w:rsidRDefault="009A2874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Однако стоит отметить и положительную тенденцию – процент людей, которых совершенно не интересует экологическая обстановка падает с каждым годом.</w:t>
      </w:r>
    </w:p>
    <w:p w:rsidR="004F5957" w:rsidRPr="009A2874" w:rsidRDefault="009A2874">
      <w:pPr>
        <w:pStyle w:val="normal"/>
        <w:spacing w:line="360" w:lineRule="auto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Таким образом, при решении сложившейся проблемы, в первую очередь,  мы считаем необходимым формирование грамотной экологической культуры граждан и сознательности в вопросах защиты окружающей среды. Именно на это направлен наш проект.</w:t>
      </w:r>
    </w:p>
    <w:p w:rsidR="004F5957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11881" w:rsidRPr="009A2874" w:rsidRDefault="00E11881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E11881" w:rsidRDefault="009A2874">
      <w:pPr>
        <w:pStyle w:val="1"/>
        <w:ind w:firstLine="700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h.tzttn7d3fcou" w:colFirst="0" w:colLast="0"/>
      <w:bookmarkStart w:id="6" w:name="_Toc244533459"/>
      <w:bookmarkEnd w:id="5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Исследование проблемы</w:t>
      </w:r>
      <w:bookmarkEnd w:id="6"/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Сегодня проблема невнимания к экологии стоит очень остро, в том числе и на территории нашей страны. Молодые люди не интересуются проблемами экологии, занимают пассивную позицию и считают, что их усилия бесполезны в решении проблем, связанных с окружающей средой.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Однако согласно опросу, проведенному Левада-Центр в мае 2013 г. состоянием окружающей среды в месте проживания: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очень сильно тревожит  21%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тревожит 52%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не тревожит 11%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- абсолютно не тревожит 11% респондентов (5% затруднились ответить).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Эти данные позволяют утверждать, что в целом население обеспокоено состоянием окружающей среды. В качестве основной причиной для беспокойства о состоянии экологии респонденты называют ухудшение здоровья.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 рамках нашего исследования мы провели небольшой опрос, в ходе которого выяснили, что большинство </w:t>
      </w:r>
      <w:r w:rsidRPr="00E11881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E11881" w:rsidRPr="00E11881">
        <w:rPr>
          <w:rFonts w:ascii="Times New Roman" w:eastAsia="Times New Roman" w:hAnsi="Times New Roman" w:cs="Times New Roman"/>
          <w:color w:val="auto"/>
          <w:sz w:val="28"/>
          <w:szCs w:val="28"/>
        </w:rPr>
        <w:t>41</w:t>
      </w:r>
      <w:r w:rsidRPr="00E118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проявляет заботу об окружающей среде путем экономии электроэнергии и воды, </w:t>
      </w:r>
      <w:r w:rsidR="00E11881"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лишь </w:t>
      </w:r>
      <w:r w:rsidR="00E11881" w:rsidRPr="00E11881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E1188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% </w:t>
      </w:r>
      <w:r w:rsidR="00E11881"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принимают участие в масштабных экологических акциях</w:t>
      </w:r>
      <w:r w:rsidR="00E1188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10% уверены в том, что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предпринимать какие-либо действия бессмысленно</w:t>
      </w:r>
      <w:r w:rsidR="00E1188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стольких же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не тревожит экология совсем</w:t>
      </w:r>
      <w:r w:rsidR="00E1188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20% затруднились ответить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  <w:proofErr w:type="gramEnd"/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В то же время  опрос ВЦИОМа показывает, что значительная часть россиян заинтересована, прежде всего, в сохранении электроэнергии, потому что это позволяет сэкономить денежные средства. По статистике предпринимаемые меры помогают сэкономить 56%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опрошенным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 </w:t>
      </w:r>
      <w:r w:rsidRPr="009A287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114300" distB="114300" distL="114300" distR="114300">
            <wp:extent cx="5943600" cy="462280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Самые распространенные способы экономии – выключение света и телевизора при выходе из комнаты, использование дневного света, как можно дольше, выдергивание шнуров и зарядных устройств из розетки при неиспользовании техники и лишь небольшая часть респондентов учитывает класс энергопотребления при покупке бытовых устройств.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Таким образом, мы выяснили, что экологическая культура граждан еще недостаточно развита. Большинство аргументов, призывающих заботиться об окружающей среде основа на экономической выгоде, также как и меры, используемые государством – повышение платы за ЖХК.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На наш взгляд, подобные тенденции неприемлемы в настоящее время и в период концепции развития гражданской инициативы. Ключевым фактором, на который необходимо опираться при решении проблемы защиты окружающей среды – осознание ее важности для сегодняшнего и будущего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>поколения граждан в совокупности с пониманием возможности катастрофических последствий для общества в целом при отказе от принятия каких-либо мер.</w:t>
      </w: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4F5957" w:rsidRPr="009A2874" w:rsidRDefault="009A2874">
      <w:pPr>
        <w:pStyle w:val="normal"/>
        <w:ind w:hanging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 </w:t>
      </w:r>
    </w:p>
    <w:p w:rsidR="004F5957" w:rsidRPr="009A2874" w:rsidRDefault="004F5957">
      <w:pPr>
        <w:pStyle w:val="normal"/>
        <w:ind w:hanging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ind w:hanging="35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h.9nt54maog5dp" w:colFirst="0" w:colLast="0"/>
      <w:bookmarkStart w:id="8" w:name="_Toc244533460"/>
      <w:bookmarkEnd w:id="7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План реализации</w:t>
      </w:r>
      <w:bookmarkEnd w:id="8"/>
    </w:p>
    <w:p w:rsidR="004F5957" w:rsidRPr="009A2874" w:rsidRDefault="004F5957">
      <w:pPr>
        <w:pStyle w:val="normal"/>
        <w:ind w:hanging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Данный проект планируется как долгосрочная студенческая инициатива. Основную деятельность будет выполнять группа, состоящая из активной молодежи нашего города, также, проект может быть предложен Комитету по молодежной политике города Санкт-Петербурга, что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обеспечит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поддержу со стороны государственных учреждений.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Начальным этапом станет формирование команды, члены, которой будут заинтересованы проблемами экологии и способами их решения. В этот период будет создаваться сайт, на котором будут анонсироваться основные природоохранные события, происходящие в городе. Кроме того, планируется создать приложение для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Android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iOS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, и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Windows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 где также будут оперативно освещаться важные мероприятия.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Стартом проекта станет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 выполнением заданий, направленных на улучшение окружающей среды, а также на повышение осведомленности целевой аудитории об экологической ситуации. Зарегистрированные команды будут раз в неделю получать задания через приложение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для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мобильного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утройства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. В целом,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продлится в течение 1-1,5 месяцев, планируется создавать интересные и несложные для выполнения задания. По результатам выполнения заданий будут выбраны команды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–п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обедители, которые будут награждены призами спонсоров. Такой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станет ежегодным мероприятием и будет проводиться в весеннее время года.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>Следующим этапом станет запуск Лектория. Каждый месяц будут проводиться лекции и семинары с интерактивной частью, чтобы рассказать молодежи об экологической обстановке в мире, способах ее улучшения, а также заботе о личном здоровье и т. д.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течение года будет проходить 2 конкурс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а-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студенческий и школьный, где участники смогут представлять свои проекты и изобретения, позволяющие решать проблемы экологии. Лучшие работы будут представлены на ежегодной ярмарке.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Последним мероприятием в рамках запуска проекта станет открытие первой ежегодной ярмарки. Мероприятие будет проводиться в сентябре, и будет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иметь своей целью заинтересовать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различные возрастные группы проблемами экология, а также привлечь внимание к деятельности организации. 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lastRenderedPageBreak/>
        <w:t xml:space="preserve">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>При успешной реализации основных описанных мероприятий могут запускаться и другие проекты, а также проводится расширение в другие регионы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.</w:t>
      </w:r>
      <w:proofErr w:type="gramEnd"/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 xml:space="preserve">Основное финансирование будет осуществляться на основе бартера. При проведении ярмарок будут использоваться средства - взносы участников. </w:t>
      </w:r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ind w:hanging="35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h.f3ljs0n3fklb" w:colFirst="0" w:colLast="0"/>
      <w:bookmarkStart w:id="10" w:name="_Toc244533461"/>
      <w:bookmarkEnd w:id="9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Цели и задачи</w:t>
      </w:r>
      <w:bookmarkEnd w:id="10"/>
    </w:p>
    <w:p w:rsidR="004F5957" w:rsidRPr="009A2874" w:rsidRDefault="004F5957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Существует множество объяснений тому, что сегодня вопрос состояния окружающей среды стоит очень остро: не сформирована единая система, отвечающая за его решение, нет достаточного количества заинтересованного населения и так далее. Но самое главное, среди молодежи бытует мнение, что все усилия, направленные на улучшение экологической ситуации.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Таким образом, необходимо в первую очередь привлечь внимание населения к проблеме плохого состояния и постоянного ухудшения экологической ситуации. Это и есть цель нашего проекта.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Достигнуть ее планируется с помощью разработки и реализации системы определенных мероприятий. В первую очередь, следует создать единую информационную площадку для освещения экологических мероприятий, проводимых в городе. Эти функции будет выполнять электронный сайт, который будет разработан специально для проекта. Планируется дополнить эту информационную систему мобильным приложением, работающим на базе систем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Android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iOS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Windows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Mobile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Мобильное приложение облегчить доступ к информации, публикуемой администрацией сайта. А так же, с помощью мобильного приложения будут проводиться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квесты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экологическую тематику: информационный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контент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будет своевременно обновляться, будут добавляться задания для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квеста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Важной частью заявленной системы мероприятий станут различные мастер-классы. Мастер-классы будут раскрывать темы, связанные с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экологичным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использованием природных ресурсов, и с различными способами использования натуральных продуктов в быту.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Ежегодные конкурсы научных проектов для школьников и студентов, проводимые в рамках нашего проекта, позволят повысить уровень осведомленности и заинтересованности и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мотивированности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среди молодежи в решении вопросов экологии.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Еще одной задачей является проведение ежегодных ярмарок. Их цель – привлечение внимания населения к деятельности организации и к проекту.</w:t>
      </w:r>
    </w:p>
    <w:p w:rsidR="009A2874" w:rsidRPr="009A2874" w:rsidRDefault="009A2874">
      <w:pPr>
        <w:pStyle w:val="1"/>
        <w:ind w:hanging="359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1" w:name="h.fzvbw489uui9" w:colFirst="0" w:colLast="0"/>
      <w:bookmarkEnd w:id="11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ind w:hanging="359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244533462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Проблем</w:t>
      </w:r>
      <w:bookmarkEnd w:id="12"/>
      <w:r w:rsid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</w:t>
      </w:r>
    </w:p>
    <w:p w:rsidR="004F5957" w:rsidRPr="009A2874" w:rsidRDefault="004F5957">
      <w:pPr>
        <w:pStyle w:val="normal"/>
        <w:ind w:hanging="35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Незаинтересованность большей части населения в проблемах экологии.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Целевая аудитория: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дети  от 5-11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школьники от 11-16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студенты от17-25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молодые люди 25-35.</w:t>
      </w:r>
    </w:p>
    <w:p w:rsidR="004F5957" w:rsidRPr="009A2874" w:rsidRDefault="009A2874">
      <w:pPr>
        <w:pStyle w:val="normal"/>
        <w:ind w:left="72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Цель: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привлечение внимания к проблемам экологии.</w:t>
      </w:r>
    </w:p>
    <w:p w:rsidR="004F5957" w:rsidRPr="009A2874" w:rsidRDefault="009A2874">
      <w:pPr>
        <w:pStyle w:val="normal"/>
        <w:ind w:left="72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Задачи: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Создание единой информационной площадки для освещения экологических мероприятий, проводимых в городе (на базе сайта и мобильного приложения)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проведение ряда мероприятий на экологическую тематику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квест</w:t>
      </w:r>
      <w:proofErr w:type="spellEnd"/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b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мастер-классы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c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.  ежегодные ярмарки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ежегодные конкурсы научных проектов для школьников и студентов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привлечение внимания к реализуемому проекту</w:t>
      </w:r>
    </w:p>
    <w:p w:rsidR="004F5957" w:rsidRPr="009A2874" w:rsidRDefault="009A2874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повышение уровня заинтересованности, осведомленности и социальной активности целевой аудитории в вопросах экологии</w:t>
      </w:r>
    </w:p>
    <w:p w:rsidR="004F5957" w:rsidRPr="009A2874" w:rsidRDefault="004F5957">
      <w:pPr>
        <w:pStyle w:val="normal"/>
        <w:ind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h.3jmqa6j4zjzv" w:colFirst="0" w:colLast="0"/>
      <w:bookmarkStart w:id="14" w:name="_Toc244533463"/>
      <w:bookmarkEnd w:id="13"/>
      <w:proofErr w:type="spellStart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Квест</w:t>
      </w:r>
      <w:proofErr w:type="spellEnd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городу</w:t>
      </w:r>
      <w:bookmarkEnd w:id="14"/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>Квесты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– определенно новый способ времяпрепровождения, количество поклонников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которого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несомненно растет.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– не только хороший способ сплотить команду и весело провести время, это еще и прекрасная возможность продвинуть идею защиты экологии. Информирование будет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производится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через социальные сети, информационные порталы и сайты партнеров. Сейчас проводится огромное количество подобных мероприятий, за участие в которых люди выкладывают большие деньги, наш же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квест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будет проводиться бесплатно. Победителям гарантированы хорошие призы.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white"/>
        </w:rPr>
        <w:t xml:space="preserve">Цель проведения: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привлечение внимания к идее охраны окружающей среды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Возраст участников: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17-25 лет.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Целевая аудитория: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школьники, студенты, СМИ.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Время проведения: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апрель-май.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Количество участников в команде: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4-7.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Количество команд: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не ограничено.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Место проведения </w:t>
      </w:r>
      <w:proofErr w:type="spellStart"/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квеста</w:t>
      </w:r>
      <w:proofErr w:type="spellEnd"/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центральная часть города.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>Для проведения необходимы: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волонтерская помощь (работа на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объектах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,р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аспространение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информации), спонсорская помощь (призы, материалы)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  <w:highlight w:val="white"/>
        </w:rPr>
        <w:t xml:space="preserve"> 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ab/>
        <w:t>Каждая из команд выполняет одинаковые задания, однако порядок этих заданий различен (команды не должны пересекаться).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h.4pcrgco5awui" w:colFirst="0" w:colLast="0"/>
      <w:bookmarkStart w:id="16" w:name="_Toc244533464"/>
      <w:bookmarkEnd w:id="15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Ежегодные ярмарки</w:t>
      </w:r>
      <w:bookmarkEnd w:id="16"/>
    </w:p>
    <w:p w:rsidR="004F5957" w:rsidRPr="009A2874" w:rsidRDefault="004F5957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Описание: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ежегодное общегородское мероприятие, представляющее собой образовательное, развлекательное и информационное пространство.  Ярмарка является одним из ключевых элементов проекта. Будет выступать как ежегодное общегородское мероприятие, представляющее собой образовательное, развлекательное и информационное пространство.</w:t>
      </w: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Целевая аудитория: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дети  от 5-11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школьники от 11-16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студенты 17-25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молодые люди 25-35.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Этапы подготовки и реализации мероприятия:</w:t>
      </w:r>
    </w:p>
    <w:p w:rsidR="004F5957" w:rsidRPr="009A2874" w:rsidRDefault="009A2874">
      <w:pPr>
        <w:pStyle w:val="normal"/>
        <w:ind w:hanging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I.          </w:t>
      </w: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Разработка концепции мероприятия</w:t>
      </w:r>
    </w:p>
    <w:p w:rsidR="004F5957" w:rsidRPr="009A2874" w:rsidRDefault="009A2874">
      <w:pPr>
        <w:pStyle w:val="normal"/>
        <w:ind w:hanging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II.  </w:t>
      </w: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Поиск спонсоров, партнеров и участников.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Предполагаемые партнеры: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Санкт-Петербургский государственный университет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СХП «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Лосево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Группа компаний «Детский мир»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iv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Магазин одежды (по договоренности)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v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Магазин продуктов</w:t>
      </w:r>
      <w:r w:rsidRPr="009A287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(по договоренности)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vi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Магазин бижутерии (по договоренности)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vii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Организаторы детских мероприятий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viii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.     Организаторы мастер-классов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b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Предполагаемые спонсоры: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«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Копицентр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F5957" w:rsidRPr="009A2874" w:rsidRDefault="009A2874">
      <w:pPr>
        <w:pStyle w:val="normal"/>
        <w:ind w:hanging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III.         </w:t>
      </w: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Запуск информационной компании.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a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Размещение информации в социальных сетях: через группы  Вконтакте,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Facebook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Twitter</w:t>
      </w:r>
      <w:proofErr w:type="spellEnd"/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b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Использование оплачиваемой рекламы на сайте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Вконтаке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c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Информация на сайте проекта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d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Информационные сайты –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Яндекс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Афиша,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Afisha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KudaGo</w:t>
      </w:r>
      <w:proofErr w:type="spellEnd"/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e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Информирование через сайты партнеров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f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Выпуск и распространение печатных материалов: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плакаты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листовки</w:t>
      </w:r>
    </w:p>
    <w:p w:rsidR="004F5957" w:rsidRPr="009A2874" w:rsidRDefault="009A2874">
      <w:pPr>
        <w:pStyle w:val="normal"/>
        <w:ind w:left="21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iii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буклеты</w:t>
      </w:r>
    </w:p>
    <w:p w:rsidR="004F5957" w:rsidRPr="009A2874" w:rsidRDefault="009A2874">
      <w:pPr>
        <w:pStyle w:val="normal"/>
        <w:ind w:hanging="7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IV.          </w:t>
      </w: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Подготовка площадки: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нашему мнению, для проведения данного мероприятия наиболее подходящим местом является … «Новая Голландия». Большое открытое пространство, популярное среди молодежи. На территории располагаются объекты, необходимые для проведения «Ярмарки». А именно кафе-бар «Голландия» (будет предложено расширить меню), «Экологический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фаст-фуд</w:t>
      </w:r>
      <w:proofErr w:type="spell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», огород, лавка с фермерскими продуктами, сцена  для проведения интерактивной части: «Ярмарка» будет проводиться в течение одного дня, с 10.00 до 22.00.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 территории комплекса появятся ряды с палатками, в которых посетители смогут приобрести различные товары: фермерские фрукты и овощи; одежду, бижутерию и аксессуары для дома, произведенные из натуральных материалов.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Партнеры, приглашенные на мероприятия, получат возможность разместить информационные стойки по территории комплекса, что позволит повысить осведомленность жителей города о деятельности природоохранных организаций.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Кроме того, появятся пункты приема товаров, требующих специальной утилизации (батарейки, медицинские препараты с истекшим сроком годности и </w:t>
      </w:r>
      <w:proofErr w:type="spell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.п</w:t>
      </w:r>
      <w:proofErr w:type="spellEnd"/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), от компании …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Студенты и школьники – победители конкурса проектов  получат возможность представить свои работы.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В течение дня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будут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проводятся короткие мастер-классы на экологическую тематику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Планируется организовать детскую площадку, где в игровой форме будет рассказано о способах защиты окружающей среды</w:t>
      </w:r>
    </w:p>
    <w:p w:rsidR="004F5957" w:rsidRPr="009A2874" w:rsidRDefault="009A2874">
      <w:pPr>
        <w:pStyle w:val="normal"/>
        <w:ind w:left="1440" w:hanging="35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·   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Финальной частью мероприятия станет показ художественного фильма о природе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E11881" w:rsidRDefault="009A2874">
      <w:pPr>
        <w:pStyle w:val="1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h.clnsskcx4g4u" w:colFirst="0" w:colLast="0"/>
      <w:bookmarkStart w:id="18" w:name="_Toc244533465"/>
      <w:bookmarkEnd w:id="17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Лекторий</w:t>
      </w:r>
      <w:bookmarkEnd w:id="18"/>
    </w:p>
    <w:p w:rsidR="004F5957" w:rsidRPr="009A2874" w:rsidRDefault="004F5957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этого направления будут организовываться мероприятия нескольких видов: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Семинары, тренинги и мастер-классы,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содержащие практические советы для экологически дружественной организации своей повседневной жизни. Спикерами выступят активисты экологических движений, а также руководители компаний, специализирующиеся на создании и распространении натуральных, экологических продуктов, которыми люди пользуются в повседневной жизни (косметика, предметы интерьера).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2. Лаборатория малых дел.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каждого пользователя в его профиле заведен свой личный счет дел (фотографии, короткие заметки)  - активист может отмечать события и описывать акции, направленные на защиту окружающей среды, в которых он принял участие. Это могут различные дела от </w:t>
      </w:r>
      <w:proofErr w:type="gramStart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самых</w:t>
      </w:r>
      <w:proofErr w:type="gramEnd"/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простых (посадка дерева) до крупномасштабных (День Земли).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3. Информирование.</w:t>
      </w:r>
    </w:p>
    <w:p w:rsidR="004F5957" w:rsidRPr="009A2874" w:rsidRDefault="009A2874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Размещение актуальной информации о проведении городских экологических акций, реализуемых различными организациями и предприятиями города, в которых каждый желающий может принять участие. Рядом с мероприятием размещение кнопок “хочу”, “могу”. Участие в каждой из акций заносится в личную копилку.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Предполагаемые темы для семинаров, мастер-классов и тренингов:</w:t>
      </w:r>
    </w:p>
    <w:p w:rsidR="004F5957" w:rsidRPr="009A2874" w:rsidRDefault="009A2874">
      <w:pPr>
        <w:pStyle w:val="normal"/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“Экологические аспекты здоровья: перспективы выживания человека”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Мастер-класс: проведение лабораторной экспертизы: экологические опасности продуктов питания”</w:t>
      </w:r>
    </w:p>
    <w:p w:rsidR="004F5957" w:rsidRPr="009A2874" w:rsidRDefault="009A2874">
      <w:pPr>
        <w:pStyle w:val="normal"/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Проведение интерактивных игр с аудиторией, благодаря которым лекции и тренинги не покажутся присутствующим скучными и не приносящими практической пользы (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посетителям покажут, как можно рационально относиться к окружающей среде, на примере взаимодействия с бытовыми объектами.)</w:t>
      </w: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4F5957" w:rsidRPr="009A2874" w:rsidRDefault="009A2874">
      <w:pPr>
        <w:pStyle w:val="normal"/>
        <w:numPr>
          <w:ilvl w:val="0"/>
          <w:numId w:val="1"/>
        </w:numPr>
        <w:ind w:hanging="35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Просмотр ряда короткометражных фильмов и агитационных видеороликов на экологическую тематику в рамках семинаров</w:t>
      </w: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E11881" w:rsidRDefault="009A2874" w:rsidP="00E11881">
      <w:pPr>
        <w:pStyle w:val="normal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9" w:name="h.4t0h0vf4cab6" w:colFirst="0" w:colLast="0"/>
      <w:bookmarkStart w:id="20" w:name="_Toc244533466"/>
      <w:bookmarkEnd w:id="19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20"/>
    </w:p>
    <w:p w:rsidR="004F5957" w:rsidRPr="009A2874" w:rsidRDefault="004F5957">
      <w:pPr>
        <w:pStyle w:val="normal"/>
        <w:ind w:firstLine="7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настоящее время  экологический вопрос является крайне важной темой для обсуждения, с каждым годом он приобретает все больший и больший  размах среди населения Земли. Современные экологические проблемы сегодня решаются на различных уровнях:  глобальном, региональном, местном. Мы решили начать именно с местного уровня, разработав этот проект, предложив свои перспективы и идеи развития.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В ходе работы мы попытались достигнуть основных целей проекта: привлечение внимания молодежи к проблемам экологии, увеличение актуализации экологических вопросов, вовлечение целевой аудитории в процесс решения поставленных задач. Надо сказать, что, несмотря на многочисленное количество проводимых мероприятий в стране, связанных с  вопросом экологии, уровень правосознания граждан и уровень экологической культуры населения до сих пор остается на крайне низком уровне. Основной мотив, на который мы рассчитываем – это изменение сложившейся экологической ситуации в сознании граждан. Безусловно, идея проведения экологических ярмарок – новая, не менее перспективная возможность показать свою вовлеченность в важнейшие проблемы современности.</w:t>
      </w:r>
    </w:p>
    <w:p w:rsidR="004F5957" w:rsidRPr="009A2874" w:rsidRDefault="009A2874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</w:t>
      </w:r>
    </w:p>
    <w:p w:rsidR="004F5957" w:rsidRPr="009A2874" w:rsidRDefault="004F5957">
      <w:pPr>
        <w:pStyle w:val="normal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5957" w:rsidRPr="009A2874" w:rsidRDefault="009A2874" w:rsidP="00E11881">
      <w:pPr>
        <w:pStyle w:val="normal"/>
        <w:rPr>
          <w:rFonts w:ascii="Times New Roman" w:hAnsi="Times New Roman" w:cs="Times New Roman"/>
          <w:color w:val="auto"/>
          <w:sz w:val="28"/>
          <w:szCs w:val="28"/>
        </w:rPr>
      </w:pPr>
      <w:r w:rsidRPr="009A287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F5957" w:rsidRPr="00E11881" w:rsidRDefault="009A2874">
      <w:pPr>
        <w:pStyle w:val="1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h.uyadcbbehj2x" w:colFirst="0" w:colLast="0"/>
      <w:bookmarkStart w:id="22" w:name="_Toc244533467"/>
      <w:bookmarkEnd w:id="21"/>
      <w:r w:rsidRPr="00E1188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Смета</w:t>
      </w:r>
      <w:bookmarkEnd w:id="22"/>
    </w:p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935"/>
        <w:gridCol w:w="4425"/>
      </w:tblGrid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электронного сайта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Студенческая инициатива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Студенческая инициатива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Организация мастер-классов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 бартерной основе с компанией </w:t>
            </w:r>
            <w:proofErr w:type="spellStart"/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со-организатором</w:t>
            </w:r>
            <w:proofErr w:type="spellEnd"/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ярмарки 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9500 рублей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Организация </w:t>
            </w:r>
            <w:proofErr w:type="spellStart"/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квеста</w:t>
            </w:r>
            <w:proofErr w:type="spellEnd"/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3000 рублей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Полиграфия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бартерной основе с типографией-партнером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Реклама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10000 рублей</w:t>
            </w:r>
          </w:p>
        </w:tc>
      </w:tr>
      <w:tr w:rsidR="004F5957" w:rsidRPr="009A2874">
        <w:tc>
          <w:tcPr>
            <w:tcW w:w="4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Всего</w:t>
            </w:r>
          </w:p>
        </w:tc>
        <w:tc>
          <w:tcPr>
            <w:tcW w:w="44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5957" w:rsidRPr="009A2874" w:rsidRDefault="009A2874">
            <w:pPr>
              <w:pStyle w:val="normal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A287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22500 рублей</w:t>
            </w:r>
          </w:p>
        </w:tc>
      </w:tr>
    </w:tbl>
    <w:p w:rsidR="004F5957" w:rsidRPr="009A2874" w:rsidRDefault="004F5957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4F5957" w:rsidRPr="009A2874" w:rsidSect="00E11881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DC0" w:rsidRDefault="004B3DC0">
      <w:r>
        <w:separator/>
      </w:r>
    </w:p>
  </w:endnote>
  <w:endnote w:type="continuationSeparator" w:id="0">
    <w:p w:rsidR="004B3DC0" w:rsidRDefault="004B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57" w:rsidRDefault="00837BC4">
    <w:pPr>
      <w:pStyle w:val="normal"/>
      <w:jc w:val="right"/>
    </w:pPr>
    <w:r>
      <w:fldChar w:fldCharType="begin"/>
    </w:r>
    <w:r w:rsidR="009A2874">
      <w:instrText>PAGE</w:instrText>
    </w:r>
    <w:r>
      <w:fldChar w:fldCharType="separate"/>
    </w:r>
    <w:r w:rsidR="0090706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DC0" w:rsidRDefault="004B3DC0">
      <w:r>
        <w:separator/>
      </w:r>
    </w:p>
  </w:footnote>
  <w:footnote w:type="continuationSeparator" w:id="0">
    <w:p w:rsidR="004B3DC0" w:rsidRDefault="004B3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56337"/>
    <w:multiLevelType w:val="multilevel"/>
    <w:tmpl w:val="02386F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5957"/>
    <w:rsid w:val="00032303"/>
    <w:rsid w:val="004B3DC0"/>
    <w:rsid w:val="004F5957"/>
    <w:rsid w:val="00837BC4"/>
    <w:rsid w:val="00907063"/>
    <w:rsid w:val="009A2874"/>
    <w:rsid w:val="00E1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C4"/>
  </w:style>
  <w:style w:type="paragraph" w:styleId="1">
    <w:name w:val="heading 1"/>
    <w:basedOn w:val="normal"/>
    <w:next w:val="normal"/>
    <w:rsid w:val="00837BC4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837BC4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837BC4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837BC4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37BC4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37BC4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7BC4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rsid w:val="00837BC4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837BC4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A2874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874"/>
    <w:rPr>
      <w:rFonts w:ascii="Lucida Grande CY" w:hAnsi="Lucida Grande CY" w:cs="Lucida Grande CY"/>
      <w:sz w:val="18"/>
      <w:szCs w:val="18"/>
    </w:rPr>
  </w:style>
  <w:style w:type="paragraph" w:styleId="a7">
    <w:name w:val="TOC Heading"/>
    <w:basedOn w:val="1"/>
    <w:next w:val="a"/>
    <w:uiPriority w:val="39"/>
    <w:unhideWhenUsed/>
    <w:qFormat/>
    <w:rsid w:val="009A2874"/>
    <w:pPr>
      <w:keepNext/>
      <w:keepLines/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9A2874"/>
    <w:pPr>
      <w:spacing w:before="120"/>
    </w:pPr>
    <w:rPr>
      <w:b/>
    </w:rPr>
  </w:style>
  <w:style w:type="paragraph" w:styleId="20">
    <w:name w:val="toc 2"/>
    <w:basedOn w:val="a"/>
    <w:next w:val="a"/>
    <w:autoRedefine/>
    <w:uiPriority w:val="39"/>
    <w:semiHidden/>
    <w:unhideWhenUsed/>
    <w:rsid w:val="009A2874"/>
    <w:pPr>
      <w:ind w:left="240"/>
    </w:pPr>
    <w:rPr>
      <w:b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9A2874"/>
    <w:pPr>
      <w:ind w:left="480"/>
    </w:pPr>
    <w:rPr>
      <w:sz w:val="22"/>
      <w:szCs w:val="22"/>
    </w:rPr>
  </w:style>
  <w:style w:type="paragraph" w:styleId="40">
    <w:name w:val="toc 4"/>
    <w:basedOn w:val="a"/>
    <w:next w:val="a"/>
    <w:autoRedefine/>
    <w:uiPriority w:val="39"/>
    <w:semiHidden/>
    <w:unhideWhenUsed/>
    <w:rsid w:val="009A2874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9A2874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uiPriority w:val="39"/>
    <w:semiHidden/>
    <w:unhideWhenUsed/>
    <w:rsid w:val="009A2874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9A2874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9A2874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9A2874"/>
    <w:pPr>
      <w:ind w:left="1920"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E118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1881"/>
  </w:style>
  <w:style w:type="paragraph" w:styleId="aa">
    <w:name w:val="footer"/>
    <w:basedOn w:val="a"/>
    <w:link w:val="ab"/>
    <w:uiPriority w:val="99"/>
    <w:semiHidden/>
    <w:unhideWhenUsed/>
    <w:rsid w:val="00E118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87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74"/>
    <w:rPr>
      <w:rFonts w:ascii="Lucida Grande CY" w:hAnsi="Lucida Grande CY" w:cs="Lucida Grande CY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A2874"/>
    <w:pPr>
      <w:keepNext/>
      <w:keepLines/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A287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A2874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A2874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A2874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A2874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A2874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A2874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A2874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A2874"/>
    <w:pPr>
      <w:ind w:left="19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DAFB0A-5E5E-45B2-90EF-B14B8A4E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2590</Words>
  <Characters>14765</Characters>
  <Application>Microsoft Office Word</Application>
  <DocSecurity>0</DocSecurity>
  <Lines>123</Lines>
  <Paragraphs>34</Paragraphs>
  <ScaleCrop>false</ScaleCrop>
  <Company>RePack by SPecialiST</Company>
  <LinksUpToDate>false</LinksUpToDate>
  <CharactersWithSpaces>17321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ММП.docx</dc:title>
  <dc:creator>Adelina</dc:creator>
  <cp:lastModifiedBy>Аделина</cp:lastModifiedBy>
  <cp:revision>3</cp:revision>
  <dcterms:created xsi:type="dcterms:W3CDTF">2013-10-27T19:01:00Z</dcterms:created>
  <dcterms:modified xsi:type="dcterms:W3CDTF">2013-10-27T19:01:00Z</dcterms:modified>
</cp:coreProperties>
</file>