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EF" w:rsidRPr="00283488" w:rsidRDefault="00CF53EF" w:rsidP="00CF5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С. А. Чугунова</w:t>
      </w:r>
    </w:p>
    <w:p w:rsidR="00CF53EF" w:rsidRPr="00283488" w:rsidRDefault="00CF53EF" w:rsidP="00CF5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Брянский государственный университет им</w:t>
      </w:r>
      <w:r w:rsidR="003D17E2">
        <w:rPr>
          <w:rFonts w:ascii="Times New Roman" w:hAnsi="Times New Roman" w:cs="Times New Roman"/>
          <w:sz w:val="28"/>
          <w:szCs w:val="28"/>
        </w:rPr>
        <w:t>.</w:t>
      </w:r>
      <w:r w:rsidRPr="00283488">
        <w:rPr>
          <w:rFonts w:ascii="Times New Roman" w:hAnsi="Times New Roman" w:cs="Times New Roman"/>
          <w:sz w:val="28"/>
          <w:szCs w:val="28"/>
        </w:rPr>
        <w:t xml:space="preserve"> академика И. Г. Петровского</w:t>
      </w:r>
    </w:p>
    <w:p w:rsidR="00CF53EF" w:rsidRDefault="00CF53EF" w:rsidP="00CF5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53EF" w:rsidRDefault="00CF53EF" w:rsidP="00CF5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ОЦЕНОЧНОЕ ВОСПР</w:t>
      </w:r>
      <w:r>
        <w:rPr>
          <w:rFonts w:ascii="Times New Roman" w:hAnsi="Times New Roman" w:cs="Times New Roman"/>
          <w:sz w:val="28"/>
          <w:szCs w:val="28"/>
        </w:rPr>
        <w:t>ИЯТИЕ ПОЛИТИЧЕСКИХ СЛОГАНОВ КАК </w:t>
      </w:r>
      <w:r w:rsidRPr="00283488">
        <w:rPr>
          <w:rFonts w:ascii="Times New Roman" w:hAnsi="Times New Roman" w:cs="Times New Roman"/>
          <w:sz w:val="28"/>
          <w:szCs w:val="28"/>
        </w:rPr>
        <w:t>СПОСОБ ИЗМЕРЕНИЯ ИХ ЭФФЕКТИВНОСТИ</w:t>
      </w:r>
    </w:p>
    <w:p w:rsidR="00CF53EF" w:rsidRPr="00283488" w:rsidRDefault="00CF53EF" w:rsidP="00CF5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3EF" w:rsidRPr="00283488" w:rsidRDefault="00CF53EF" w:rsidP="00CF5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 xml:space="preserve">Значительными возможностями воздействия на массовое сознание обладает политическая реклама, к которой относится жанр политического лозунга (слогана, девиза). Лозунг, определяющийся как «призыв, в краткой форме выражающий руководящую идею, задачу, требование» (БТСРЯ, 1998), –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прототипичный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жанр политического дискурса, ведущий инструмент политической борьбы в политической коммуникации «граждане ↔ институт» (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2000, с.</w:t>
      </w:r>
      <w:r w:rsidR="003D17E2">
        <w:rPr>
          <w:rFonts w:ascii="Times New Roman" w:hAnsi="Times New Roman" w:cs="Times New Roman"/>
          <w:sz w:val="28"/>
          <w:szCs w:val="28"/>
        </w:rPr>
        <w:t> </w:t>
      </w:r>
      <w:r w:rsidRPr="00283488">
        <w:rPr>
          <w:rFonts w:ascii="Times New Roman" w:hAnsi="Times New Roman" w:cs="Times New Roman"/>
          <w:sz w:val="28"/>
          <w:szCs w:val="28"/>
        </w:rPr>
        <w:t xml:space="preserve">344–345). Основные содержательные характеристики политического лозунга: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эксплицитность</w:t>
      </w:r>
      <w:proofErr w:type="spellEnd"/>
      <w:r w:rsidR="00AA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7E2">
        <w:rPr>
          <w:rFonts w:ascii="Times New Roman" w:hAnsi="Times New Roman" w:cs="Times New Roman"/>
          <w:sz w:val="28"/>
          <w:szCs w:val="28"/>
        </w:rPr>
        <w:t>смысла</w:t>
      </w:r>
      <w:proofErr w:type="spellEnd"/>
      <w:r w:rsidR="003D17E2">
        <w:rPr>
          <w:rFonts w:ascii="Times New Roman" w:hAnsi="Times New Roman" w:cs="Times New Roman"/>
          <w:sz w:val="28"/>
          <w:szCs w:val="28"/>
        </w:rPr>
        <w:t>, злободневность,</w:t>
      </w:r>
      <w:r w:rsidRPr="00283488">
        <w:rPr>
          <w:rFonts w:ascii="Times New Roman" w:hAnsi="Times New Roman" w:cs="Times New Roman"/>
          <w:sz w:val="28"/>
          <w:szCs w:val="28"/>
        </w:rPr>
        <w:t xml:space="preserve"> идеологическая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маркированность</w:t>
      </w:r>
      <w:proofErr w:type="spellEnd"/>
      <w:r w:rsidR="003D17E2">
        <w:rPr>
          <w:rFonts w:ascii="Times New Roman" w:hAnsi="Times New Roman" w:cs="Times New Roman"/>
          <w:sz w:val="28"/>
          <w:szCs w:val="28"/>
        </w:rPr>
        <w:t>,</w:t>
      </w:r>
      <w:r w:rsidRPr="00283488">
        <w:rPr>
          <w:rFonts w:ascii="Times New Roman" w:hAnsi="Times New Roman" w:cs="Times New Roman"/>
          <w:sz w:val="28"/>
          <w:szCs w:val="28"/>
        </w:rPr>
        <w:t xml:space="preserve"> лапидарность и др</w:t>
      </w:r>
      <w:r w:rsidR="003D17E2">
        <w:rPr>
          <w:rFonts w:ascii="Times New Roman" w:hAnsi="Times New Roman" w:cs="Times New Roman"/>
          <w:sz w:val="28"/>
          <w:szCs w:val="28"/>
        </w:rPr>
        <w:t>.</w:t>
      </w:r>
    </w:p>
    <w:p w:rsidR="00CF53EF" w:rsidRPr="00283488" w:rsidRDefault="00CF53EF" w:rsidP="00CF5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В 2016 г</w:t>
      </w:r>
      <w:r w:rsidR="003D17E2">
        <w:rPr>
          <w:rFonts w:ascii="Times New Roman" w:hAnsi="Times New Roman" w:cs="Times New Roman"/>
          <w:sz w:val="28"/>
          <w:szCs w:val="28"/>
        </w:rPr>
        <w:t>.</w:t>
      </w:r>
      <w:r w:rsidRPr="00283488">
        <w:rPr>
          <w:rFonts w:ascii="Times New Roman" w:hAnsi="Times New Roman" w:cs="Times New Roman"/>
          <w:sz w:val="28"/>
          <w:szCs w:val="28"/>
        </w:rPr>
        <w:t xml:space="preserve"> в США состоятся выборы президента, и в борьбе за мнение американского электората используются все возможные инструменты влияния, включая политический слоган. Был проведён эксперимент с применением модифицированного варианта метода </w:t>
      </w:r>
      <w:r w:rsidR="003D17E2">
        <w:rPr>
          <w:rFonts w:ascii="Times New Roman" w:hAnsi="Times New Roman" w:cs="Times New Roman"/>
          <w:sz w:val="28"/>
          <w:szCs w:val="28"/>
        </w:rPr>
        <w:t>семантического дифференциала Ч. 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Осгуда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 w:rsidRPr="00283488">
        <w:rPr>
          <w:rFonts w:ascii="Times New Roman" w:hAnsi="Times New Roman" w:cs="Times New Roman"/>
          <w:sz w:val="28"/>
          <w:szCs w:val="28"/>
        </w:rPr>
        <w:t>исследовать</w:t>
      </w:r>
      <w:proofErr w:type="gramEnd"/>
      <w:r w:rsidRPr="00283488">
        <w:rPr>
          <w:rFonts w:ascii="Times New Roman" w:hAnsi="Times New Roman" w:cs="Times New Roman"/>
          <w:sz w:val="28"/>
          <w:szCs w:val="28"/>
        </w:rPr>
        <w:t xml:space="preserve"> эффективность лозунгов нынешней президентской кампании в США через оценочное восприятие индивида. Испытуемыми выступили студенты факультета иностранных языков университета, изучающие английский язык в качестве основной специальности. Стимулы включали десять политических лозунгов кандидатов в президенты от разных партий. Предварительно проведённый лингвостилистический анализ стимулов позволил выявить их сильные и спорные стороны. С русскоязычными испытуемыми исключался мощный экстралингвистический фактор влияния – фигура политика и/или партия, которую он представляет.</w:t>
      </w:r>
    </w:p>
    <w:p w:rsidR="00961A5D" w:rsidRDefault="00CF53EF" w:rsidP="00CF53EF">
      <w:pPr>
        <w:spacing w:after="0" w:line="360" w:lineRule="auto"/>
        <w:ind w:firstLine="709"/>
        <w:jc w:val="both"/>
      </w:pPr>
      <w:r w:rsidRPr="00283488">
        <w:rPr>
          <w:rFonts w:ascii="Times New Roman" w:hAnsi="Times New Roman" w:cs="Times New Roman"/>
          <w:sz w:val="28"/>
          <w:szCs w:val="28"/>
        </w:rPr>
        <w:lastRenderedPageBreak/>
        <w:t>Построенные в результате эксперимента групповые семантические пространства (СП) стимулов иногда существенно отличались от индивидуальных СП, в частности от предварительных оценок, полученных в ходе лингвостилистического анализа стимулов. Общий итог показывает, что превалирует позитивная оценка (224), за ней следует нейтрал</w:t>
      </w:r>
      <w:r w:rsidR="003D17E2">
        <w:rPr>
          <w:rFonts w:ascii="Times New Roman" w:hAnsi="Times New Roman" w:cs="Times New Roman"/>
          <w:sz w:val="28"/>
          <w:szCs w:val="28"/>
        </w:rPr>
        <w:t>ьная реакция (146),</w:t>
      </w:r>
      <w:bookmarkStart w:id="0" w:name="_GoBack"/>
      <w:bookmarkEnd w:id="0"/>
      <w:r w:rsidRPr="00283488">
        <w:rPr>
          <w:rFonts w:ascii="Times New Roman" w:hAnsi="Times New Roman" w:cs="Times New Roman"/>
          <w:sz w:val="28"/>
          <w:szCs w:val="28"/>
        </w:rPr>
        <w:t xml:space="preserve"> на последнем месте – негативная оценка (130). Преобладающий положительный итог согласуется, по всей видимости, с ожиданиями политтехнологов – авторов слоганов нынешней президентской кампании в США.</w:t>
      </w:r>
    </w:p>
    <w:sectPr w:rsidR="00961A5D" w:rsidSect="0096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3EF"/>
    <w:rsid w:val="00397C49"/>
    <w:rsid w:val="003D17E2"/>
    <w:rsid w:val="00961A5D"/>
    <w:rsid w:val="00AA08F5"/>
    <w:rsid w:val="00CF53EF"/>
    <w:rsid w:val="00EA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2016-03-31T20:54:00Z</dcterms:created>
  <dcterms:modified xsi:type="dcterms:W3CDTF">2016-04-03T15:45:00Z</dcterms:modified>
</cp:coreProperties>
</file>