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spacing w:after="0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Григорьев</w:t>
      </w:r>
    </w:p>
    <w:p>
      <w:pPr>
        <w:pStyle w:val="Обычный (веб)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Петербургский государственный университет</w:t>
      </w:r>
    </w:p>
    <w:p>
      <w:pPr>
        <w:pStyle w:val="Обычный (веб)"/>
        <w:spacing w:before="0" w:after="0" w:line="360" w:lineRule="auto"/>
        <w:jc w:val="both"/>
        <w:rPr>
          <w:sz w:val="28"/>
          <w:szCs w:val="28"/>
        </w:rPr>
      </w:pPr>
    </w:p>
    <w:p>
      <w:pPr>
        <w:pStyle w:val="Обычный"/>
        <w:spacing w:after="120"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 ТИПОЛОГИИ КОНЦЕНТРАЦИИ СМИ В БРАЗИЛИИ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настоящее время в странах БРИКС значительно более высокий уровень концентрации СМИ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на медиарынках развитых стран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этом отмечается тесная связь с политическими силами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находящимися у власти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в состоянии как тормозить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и ускорять процессы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описании медиарынков БРИКС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таком случае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типологически значимым является не только степень концентрации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наличие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отсутствие предпосылок создания системы СМИ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уравновешивающей влияние государства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Несмотря на значительный удельный вес публикаций по бразильским СМИ по сравнению с количеством публикаций по СМИ других латиноамериканских стран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предлагаемые в них выводы часто основываются на традиционных подходах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не на современном анализе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общей корректности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позволяет учитывать конкретную ситуацию в стране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Характеризуя медиаландшафт Бразилии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следует отметить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среди стран Латинской Америки Бразилия обладает наиболее развитой системой СМИ с наибольшими инвестициями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Телевещание осуществляют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385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частных 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государственных станций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Крупнейшая телекомпания </w:t>
      </w:r>
      <w:r>
        <w:rPr>
          <w:rFonts w:ascii="Times New Roman" w:hAnsi="Times New Roman"/>
          <w:sz w:val="28"/>
          <w:szCs w:val="28"/>
          <w:rtl w:val="0"/>
          <w:lang w:val="en-US"/>
        </w:rPr>
        <w:t>Red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Globo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занимает </w:t>
      </w:r>
      <w:r>
        <w:rPr>
          <w:rFonts w:ascii="Times New Roman" w:hAnsi="Times New Roman"/>
          <w:sz w:val="28"/>
          <w:szCs w:val="28"/>
          <w:rtl w:val="0"/>
          <w:lang w:val="ru-RU"/>
        </w:rPr>
        <w:t>45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рынка вещания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сфере радиовещания функционируют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4000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радиостанций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здесь особенно заметно присутствие государства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осуществляющего свою деятельность через радиовещательную сеть </w:t>
      </w:r>
      <w:r>
        <w:rPr>
          <w:rFonts w:ascii="Times New Roman" w:hAnsi="Times New Roman"/>
          <w:sz w:val="28"/>
          <w:szCs w:val="28"/>
          <w:rtl w:val="0"/>
          <w:lang w:val="en-US"/>
        </w:rPr>
        <w:t>Radiobr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á</w:t>
      </w:r>
      <w:r>
        <w:rPr>
          <w:rFonts w:ascii="Times New Roman" w:hAnsi="Times New Roman"/>
          <w:sz w:val="28"/>
          <w:szCs w:val="28"/>
          <w:rtl w:val="0"/>
          <w:lang w:val="en-US"/>
        </w:rPr>
        <w:t>s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Бразилии выходит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3466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периодических изданий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из которых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682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журналы</w:t>
      </w:r>
      <w:r>
        <w:rPr>
          <w:rFonts w:ascii="Times New Roman" w:hAnsi="Times New Roman"/>
          <w:sz w:val="28"/>
          <w:szCs w:val="28"/>
          <w:rtl w:val="0"/>
          <w:lang w:val="ru-RU"/>
        </w:rPr>
        <w:t>. 85,3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всех изданий приходится на экономически наиболее развитый юго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восток страны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Традиционно для Бразилии тираж изданий крайне невысок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rtl w:val="0"/>
          <w:lang w:val="en-US"/>
        </w:rPr>
        <w:t>Folha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rtl w:val="0"/>
          <w:lang w:val="en-US"/>
        </w:rPr>
        <w:t>de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rtl w:val="0"/>
          <w:lang w:val="en-US"/>
        </w:rPr>
        <w:t>S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rtl w:val="0"/>
          <w:lang w:val="en-US"/>
        </w:rPr>
        <w:t>Paulo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rtl w:val="0"/>
          <w:lang w:val="ru-RU"/>
        </w:rPr>
        <w:t>295000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экз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/>
          <w:sz w:val="28"/>
          <w:szCs w:val="28"/>
          <w:rtl w:val="0"/>
          <w:lang w:val="en-US"/>
        </w:rPr>
        <w:t>O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rtl w:val="0"/>
          <w:lang w:val="en-US"/>
        </w:rPr>
        <w:t>Globo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238000, </w:t>
      </w:r>
      <w:r>
        <w:rPr>
          <w:rFonts w:ascii="Times New Roman" w:hAnsi="Times New Roman"/>
          <w:sz w:val="28"/>
          <w:szCs w:val="28"/>
          <w:rtl w:val="0"/>
          <w:lang w:val="en-US"/>
        </w:rPr>
        <w:t>O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rtl w:val="0"/>
          <w:lang w:val="en-US"/>
        </w:rPr>
        <w:t>Estado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rtl w:val="0"/>
          <w:lang w:val="en-US"/>
        </w:rPr>
        <w:t>de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rtl w:val="0"/>
          <w:lang w:val="en-US"/>
        </w:rPr>
        <w:t>S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rtl w:val="0"/>
          <w:lang w:val="en-US"/>
        </w:rPr>
        <w:t>Paulo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rtl w:val="0"/>
          <w:lang w:val="ru-RU"/>
        </w:rPr>
        <w:t>212000.</w:t>
      </w:r>
    </w:p>
    <w:p>
      <w:pPr>
        <w:pStyle w:val="Обычный"/>
        <w:spacing w:after="0" w:line="36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количеству медиапредприятий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занимающих более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>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рынка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показатели Бразилии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rtl w:val="0"/>
          <w:lang w:val="ru-RU"/>
        </w:rPr>
        <w:t>41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%)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ниже среднего </w:t>
      </w:r>
      <w:r>
        <w:rPr>
          <w:rFonts w:ascii="Times New Roman" w:hAnsi="Times New Roman"/>
          <w:sz w:val="28"/>
          <w:szCs w:val="28"/>
          <w:rtl w:val="0"/>
          <w:lang w:val="ru-RU"/>
        </w:rPr>
        <w:t>(51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%),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свидетельствует о наличии высокого показателя перекрестной структуры собственности в стране и достаточной степени концентрации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after="0" w:line="360" w:lineRule="auto"/>
        <w:ind w:firstLine="708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показателям иностранного участия в акционерных капиталах медиарынка Бразилия занимает одно из лидирующих мест в мире </w:t>
      </w:r>
      <w:r>
        <w:rPr>
          <w:rFonts w:ascii="Times New Roman" w:hAnsi="Times New Roman"/>
          <w:sz w:val="28"/>
          <w:szCs w:val="28"/>
          <w:rtl w:val="0"/>
          <w:lang w:val="ru-RU"/>
        </w:rPr>
        <w:t>(52,6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%),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наряду с Ирландией </w:t>
      </w:r>
      <w:r>
        <w:rPr>
          <w:rFonts w:ascii="Times New Roman" w:hAnsi="Times New Roman"/>
          <w:sz w:val="28"/>
          <w:szCs w:val="28"/>
          <w:rtl w:val="0"/>
          <w:lang w:val="ru-RU"/>
        </w:rPr>
        <w:t>(56,3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%),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Чили </w:t>
      </w:r>
      <w:r>
        <w:rPr>
          <w:rFonts w:ascii="Times New Roman" w:hAnsi="Times New Roman"/>
          <w:sz w:val="28"/>
          <w:szCs w:val="28"/>
          <w:rtl w:val="0"/>
          <w:lang w:val="ru-RU"/>
        </w:rPr>
        <w:t>(53,4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%)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Аргентиной </w:t>
      </w:r>
      <w:r>
        <w:rPr>
          <w:rFonts w:ascii="Times New Roman" w:hAnsi="Times New Roman"/>
          <w:sz w:val="28"/>
          <w:szCs w:val="28"/>
          <w:rtl w:val="0"/>
          <w:lang w:val="ru-RU"/>
        </w:rPr>
        <w:t>(45,9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%),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является прямым следствием снятия экономических ограничений на импорт капитала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