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94F3" w14:textId="77777777" w:rsidR="00F1741C" w:rsidRPr="00C30852" w:rsidRDefault="00C30852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F4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Рахманова</w:t>
      </w:r>
    </w:p>
    <w:p w14:paraId="672702B8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Рос</w:t>
      </w:r>
      <w:r w:rsidR="00C30852">
        <w:rPr>
          <w:rFonts w:ascii="Times New Roman" w:hAnsi="Times New Roman" w:cs="Times New Roman"/>
          <w:sz w:val="28"/>
          <w:szCs w:val="28"/>
        </w:rPr>
        <w:t>сийский государственный</w:t>
      </w:r>
      <w:r w:rsidRPr="00C30852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F4494C">
        <w:rPr>
          <w:rFonts w:ascii="Times New Roman" w:hAnsi="Times New Roman" w:cs="Times New Roman"/>
          <w:sz w:val="28"/>
          <w:szCs w:val="28"/>
        </w:rPr>
        <w:t>ий университет им. </w:t>
      </w:r>
      <w:r w:rsidR="00C30852">
        <w:rPr>
          <w:rFonts w:ascii="Times New Roman" w:hAnsi="Times New Roman" w:cs="Times New Roman"/>
          <w:sz w:val="28"/>
          <w:szCs w:val="28"/>
        </w:rPr>
        <w:t>А.</w:t>
      </w:r>
      <w:r w:rsidR="00F4494C">
        <w:rPr>
          <w:rFonts w:ascii="Times New Roman" w:hAnsi="Times New Roman" w:cs="Times New Roman"/>
          <w:sz w:val="28"/>
          <w:szCs w:val="28"/>
        </w:rPr>
        <w:t> </w:t>
      </w:r>
      <w:r w:rsidR="00C30852">
        <w:rPr>
          <w:rFonts w:ascii="Times New Roman" w:hAnsi="Times New Roman" w:cs="Times New Roman"/>
          <w:sz w:val="28"/>
          <w:szCs w:val="28"/>
        </w:rPr>
        <w:t>И.</w:t>
      </w:r>
      <w:r w:rsidR="00F4494C">
        <w:rPr>
          <w:rFonts w:ascii="Times New Roman" w:hAnsi="Times New Roman" w:cs="Times New Roman"/>
          <w:sz w:val="28"/>
          <w:szCs w:val="28"/>
        </w:rPr>
        <w:t> </w:t>
      </w:r>
      <w:r w:rsidR="00C30852">
        <w:rPr>
          <w:rFonts w:ascii="Times New Roman" w:hAnsi="Times New Roman" w:cs="Times New Roman"/>
          <w:sz w:val="28"/>
          <w:szCs w:val="28"/>
        </w:rPr>
        <w:t>Герцена</w:t>
      </w:r>
    </w:p>
    <w:p w14:paraId="5EA041E1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C4A4D" w14:textId="77777777" w:rsidR="004E56B0" w:rsidRPr="00C30852" w:rsidRDefault="00C30852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СОВРЕМЕННЫЕ ПОДХОДЫ К ИЗУЧЕНИЮ АУДИТОРИИ СМК</w:t>
      </w:r>
    </w:p>
    <w:p w14:paraId="038B4597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96EA0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Без учета особенностей аудитории невозможно построить эффективную стратегическую коммуникацию. Уже стало достаточно устоявшейся, хотя и несколько устаревшей</w:t>
      </w:r>
      <w:r w:rsidR="00F4494C">
        <w:rPr>
          <w:rFonts w:ascii="Times New Roman" w:hAnsi="Times New Roman" w:cs="Times New Roman"/>
          <w:sz w:val="28"/>
          <w:szCs w:val="28"/>
        </w:rPr>
        <w:t>, практикой</w:t>
      </w:r>
      <w:r w:rsidRPr="00C30852">
        <w:rPr>
          <w:rFonts w:ascii="Times New Roman" w:hAnsi="Times New Roman" w:cs="Times New Roman"/>
          <w:sz w:val="28"/>
          <w:szCs w:val="28"/>
        </w:rPr>
        <w:t xml:space="preserve"> выделение активной (самостоятельный отбор информации, поиск альтернативных источников, составление собственного «пула» надежных источников) и пассивной (зависимость от навязанных СМИ, некритичное отношение к информации, невозможность и/или нежелание выработки собственных оценок).</w:t>
      </w:r>
    </w:p>
    <w:p w14:paraId="4C15AF84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 xml:space="preserve"> Принимая во внимание интерактивность большинства современных СМК, представляется более целесообразным, вслед за Дж. Уэбстером, выделить  </w:t>
      </w:r>
      <w:r w:rsidR="00C30852">
        <w:rPr>
          <w:rFonts w:ascii="Times New Roman" w:hAnsi="Times New Roman" w:cs="Times New Roman"/>
          <w:sz w:val="28"/>
          <w:szCs w:val="28"/>
        </w:rPr>
        <w:t>три</w:t>
      </w:r>
      <w:r w:rsidRPr="00C30852">
        <w:rPr>
          <w:rFonts w:ascii="Times New Roman" w:hAnsi="Times New Roman" w:cs="Times New Roman"/>
          <w:sz w:val="28"/>
          <w:szCs w:val="28"/>
        </w:rPr>
        <w:t xml:space="preserve"> подхода к изучению аудитории:</w:t>
      </w:r>
    </w:p>
    <w:p w14:paraId="76FB280D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- аудитория-как-масса;</w:t>
      </w:r>
    </w:p>
    <w:p w14:paraId="1C3C7768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- аудитория-как-объект;</w:t>
      </w:r>
    </w:p>
    <w:p w14:paraId="56BD8DD9" w14:textId="77777777" w:rsidR="004E56B0" w:rsidRPr="00C30852" w:rsidRDefault="00F4494C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аудитория-как-</w:t>
      </w:r>
      <w:r w:rsidR="004E56B0" w:rsidRPr="00C30852">
        <w:rPr>
          <w:rFonts w:ascii="Times New Roman" w:hAnsi="Times New Roman" w:cs="Times New Roman"/>
          <w:sz w:val="28"/>
          <w:szCs w:val="28"/>
        </w:rPr>
        <w:t>агент.</w:t>
      </w:r>
    </w:p>
    <w:p w14:paraId="40F79918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Первый и второй подходы являются интерпретацией традиционных трактовок аудитории и предполагают изучение следующих аспектов:</w:t>
      </w:r>
    </w:p>
    <w:p w14:paraId="75B910B2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- количественное измерение аудитории (показатели аудитории);</w:t>
      </w:r>
    </w:p>
    <w:p w14:paraId="57C27AD8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- прогнозирование массового пов</w:t>
      </w:r>
      <w:r w:rsidR="00F4494C">
        <w:rPr>
          <w:rFonts w:ascii="Times New Roman" w:hAnsi="Times New Roman" w:cs="Times New Roman"/>
          <w:sz w:val="28"/>
          <w:szCs w:val="28"/>
        </w:rPr>
        <w:t>едения, которое рассматривается</w:t>
      </w:r>
      <w:bookmarkStart w:id="0" w:name="_GoBack"/>
      <w:bookmarkEnd w:id="0"/>
      <w:r w:rsidRPr="00C30852">
        <w:rPr>
          <w:rFonts w:ascii="Times New Roman" w:hAnsi="Times New Roman" w:cs="Times New Roman"/>
          <w:sz w:val="28"/>
          <w:szCs w:val="28"/>
        </w:rPr>
        <w:t xml:space="preserve"> как реакция на информационное воздействие;</w:t>
      </w:r>
    </w:p>
    <w:p w14:paraId="5AEF85D0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 xml:space="preserve">- технологии  формирования </w:t>
      </w:r>
      <w:proofErr w:type="spellStart"/>
      <w:r w:rsidRPr="00C30852">
        <w:rPr>
          <w:rFonts w:ascii="Times New Roman" w:hAnsi="Times New Roman" w:cs="Times New Roman"/>
          <w:sz w:val="28"/>
          <w:szCs w:val="28"/>
        </w:rPr>
        <w:t>медиасообщений</w:t>
      </w:r>
      <w:proofErr w:type="spellEnd"/>
      <w:r w:rsidRPr="00C30852">
        <w:rPr>
          <w:rFonts w:ascii="Times New Roman" w:hAnsi="Times New Roman" w:cs="Times New Roman"/>
          <w:sz w:val="28"/>
          <w:szCs w:val="28"/>
        </w:rPr>
        <w:t xml:space="preserve"> и предсказания/изучения их эффективности;</w:t>
      </w:r>
    </w:p>
    <w:p w14:paraId="31ED5222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- исследование воздействия на массовое сознание пропаганды;</w:t>
      </w:r>
    </w:p>
    <w:p w14:paraId="7874A675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- СМК как один из важнейших социальных институтов массового общества;</w:t>
      </w:r>
    </w:p>
    <w:p w14:paraId="2E22DAFB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 xml:space="preserve">- идея культивации (Дж. </w:t>
      </w:r>
      <w:proofErr w:type="spellStart"/>
      <w:r w:rsidRPr="00C30852">
        <w:rPr>
          <w:rFonts w:ascii="Times New Roman" w:hAnsi="Times New Roman" w:cs="Times New Roman"/>
          <w:sz w:val="28"/>
          <w:szCs w:val="28"/>
        </w:rPr>
        <w:t>Гербнер</w:t>
      </w:r>
      <w:proofErr w:type="spellEnd"/>
      <w:r w:rsidRPr="00C30852">
        <w:rPr>
          <w:rFonts w:ascii="Times New Roman" w:hAnsi="Times New Roman" w:cs="Times New Roman"/>
          <w:sz w:val="28"/>
          <w:szCs w:val="28"/>
        </w:rPr>
        <w:t>);</w:t>
      </w:r>
    </w:p>
    <w:p w14:paraId="0A37880F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lastRenderedPageBreak/>
        <w:t xml:space="preserve">- теория спирали молчания (Э. </w:t>
      </w:r>
      <w:proofErr w:type="spellStart"/>
      <w:r w:rsidRPr="00C30852">
        <w:rPr>
          <w:rFonts w:ascii="Times New Roman" w:hAnsi="Times New Roman" w:cs="Times New Roman"/>
          <w:sz w:val="28"/>
          <w:szCs w:val="28"/>
        </w:rPr>
        <w:t>Ноэль-Нойман</w:t>
      </w:r>
      <w:proofErr w:type="spellEnd"/>
      <w:r w:rsidRPr="00C30852">
        <w:rPr>
          <w:rFonts w:ascii="Times New Roman" w:hAnsi="Times New Roman" w:cs="Times New Roman"/>
          <w:sz w:val="28"/>
          <w:szCs w:val="28"/>
        </w:rPr>
        <w:t>);</w:t>
      </w:r>
    </w:p>
    <w:p w14:paraId="0F6B55C2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- проблематика социологии кино и театра и др.</w:t>
      </w:r>
    </w:p>
    <w:p w14:paraId="23C5B0B2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Рассмотрение аудитории-как-агента конкретизируется в исследовании таких вопросов, как:</w:t>
      </w:r>
    </w:p>
    <w:p w14:paraId="72185F7F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- процессы информационного отбора аудитории (факторы отбора, алгоритмы, информационные потребности аудитории; влияние «информационной моды» и т.п.);</w:t>
      </w:r>
    </w:p>
    <w:p w14:paraId="2C148C3D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- теория использования СМК (особо акцентируется внимание на использование СМК для удовлетворения информационных, эстетических, этических потребностей, потребностей в социальном признании);</w:t>
      </w:r>
    </w:p>
    <w:p w14:paraId="2B54D8CD" w14:textId="77777777" w:rsidR="004E56B0" w:rsidRPr="00C30852" w:rsidRDefault="004E56B0" w:rsidP="00F4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52">
        <w:rPr>
          <w:rFonts w:ascii="Times New Roman" w:hAnsi="Times New Roman" w:cs="Times New Roman"/>
          <w:sz w:val="28"/>
          <w:szCs w:val="28"/>
        </w:rPr>
        <w:t>- интерпретирующие сообщества (в том числе такие объекты исследований ка</w:t>
      </w:r>
      <w:r w:rsidR="00C3085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C30852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="00C30852">
        <w:rPr>
          <w:rFonts w:ascii="Times New Roman" w:hAnsi="Times New Roman" w:cs="Times New Roman"/>
          <w:sz w:val="28"/>
          <w:szCs w:val="28"/>
        </w:rPr>
        <w:t>, социальные сети).</w:t>
      </w:r>
    </w:p>
    <w:sectPr w:rsidR="004E56B0" w:rsidRPr="00C30852" w:rsidSect="00F449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B0"/>
    <w:rsid w:val="000366C2"/>
    <w:rsid w:val="000446D0"/>
    <w:rsid w:val="00082476"/>
    <w:rsid w:val="000922D1"/>
    <w:rsid w:val="000B4F07"/>
    <w:rsid w:val="000D540D"/>
    <w:rsid w:val="000F2C11"/>
    <w:rsid w:val="00131B92"/>
    <w:rsid w:val="00140292"/>
    <w:rsid w:val="001521CC"/>
    <w:rsid w:val="00176AD4"/>
    <w:rsid w:val="001A30F8"/>
    <w:rsid w:val="001D51C1"/>
    <w:rsid w:val="001F7652"/>
    <w:rsid w:val="002A60F8"/>
    <w:rsid w:val="00322FE2"/>
    <w:rsid w:val="003275FC"/>
    <w:rsid w:val="00346AE5"/>
    <w:rsid w:val="00361364"/>
    <w:rsid w:val="003B2211"/>
    <w:rsid w:val="003F3717"/>
    <w:rsid w:val="00401D6B"/>
    <w:rsid w:val="0045301E"/>
    <w:rsid w:val="00474DC1"/>
    <w:rsid w:val="004801DE"/>
    <w:rsid w:val="004C603C"/>
    <w:rsid w:val="004E56B0"/>
    <w:rsid w:val="00500FCE"/>
    <w:rsid w:val="00581886"/>
    <w:rsid w:val="005A62C8"/>
    <w:rsid w:val="006112BC"/>
    <w:rsid w:val="006719E8"/>
    <w:rsid w:val="006725FB"/>
    <w:rsid w:val="006A0A3F"/>
    <w:rsid w:val="006D51EB"/>
    <w:rsid w:val="00725B81"/>
    <w:rsid w:val="00763AEB"/>
    <w:rsid w:val="007F3031"/>
    <w:rsid w:val="00896173"/>
    <w:rsid w:val="009368B7"/>
    <w:rsid w:val="009E44BE"/>
    <w:rsid w:val="00A021CF"/>
    <w:rsid w:val="00A4784A"/>
    <w:rsid w:val="00AB37B2"/>
    <w:rsid w:val="00AC198F"/>
    <w:rsid w:val="00AE3631"/>
    <w:rsid w:val="00AF74F9"/>
    <w:rsid w:val="00B94921"/>
    <w:rsid w:val="00C02343"/>
    <w:rsid w:val="00C221E3"/>
    <w:rsid w:val="00C30852"/>
    <w:rsid w:val="00C36D0D"/>
    <w:rsid w:val="00C974EF"/>
    <w:rsid w:val="00CC0660"/>
    <w:rsid w:val="00CD707D"/>
    <w:rsid w:val="00CF0E1D"/>
    <w:rsid w:val="00D069E2"/>
    <w:rsid w:val="00D17FB8"/>
    <w:rsid w:val="00D43A17"/>
    <w:rsid w:val="00D75528"/>
    <w:rsid w:val="00D90113"/>
    <w:rsid w:val="00DA062F"/>
    <w:rsid w:val="00DA4C60"/>
    <w:rsid w:val="00DC7AD4"/>
    <w:rsid w:val="00DC7BCF"/>
    <w:rsid w:val="00DD57FF"/>
    <w:rsid w:val="00DE4BF2"/>
    <w:rsid w:val="00E14A31"/>
    <w:rsid w:val="00E163B6"/>
    <w:rsid w:val="00E53B1C"/>
    <w:rsid w:val="00E950A5"/>
    <w:rsid w:val="00E9720E"/>
    <w:rsid w:val="00F1741C"/>
    <w:rsid w:val="00F445C3"/>
    <w:rsid w:val="00F4494C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FF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2</cp:revision>
  <dcterms:created xsi:type="dcterms:W3CDTF">2015-03-17T09:06:00Z</dcterms:created>
  <dcterms:modified xsi:type="dcterms:W3CDTF">2015-03-23T16:32:00Z</dcterms:modified>
</cp:coreProperties>
</file>