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59" w:rsidRPr="00430F3C" w:rsidRDefault="00430F3C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0F3C">
        <w:rPr>
          <w:rFonts w:ascii="Times New Roman" w:hAnsi="Times New Roman" w:cs="Times New Roman"/>
          <w:sz w:val="28"/>
          <w:szCs w:val="28"/>
        </w:rPr>
        <w:t>А</w:t>
      </w:r>
      <w:r w:rsidR="008B4C59" w:rsidRPr="00430F3C">
        <w:rPr>
          <w:rFonts w:ascii="Times New Roman" w:hAnsi="Times New Roman" w:cs="Times New Roman"/>
          <w:sz w:val="28"/>
          <w:szCs w:val="28"/>
        </w:rPr>
        <w:t>.</w:t>
      </w:r>
      <w:r w:rsidR="000511E4" w:rsidRPr="00430F3C">
        <w:rPr>
          <w:rFonts w:ascii="Times New Roman" w:hAnsi="Times New Roman" w:cs="Times New Roman"/>
          <w:sz w:val="28"/>
          <w:szCs w:val="28"/>
        </w:rPr>
        <w:t xml:space="preserve"> </w:t>
      </w:r>
      <w:r w:rsidR="0007756A" w:rsidRPr="00430F3C">
        <w:rPr>
          <w:rFonts w:ascii="Times New Roman" w:hAnsi="Times New Roman" w:cs="Times New Roman"/>
          <w:sz w:val="28"/>
          <w:szCs w:val="28"/>
        </w:rPr>
        <w:t>Д</w:t>
      </w:r>
      <w:r w:rsidR="008B4C59" w:rsidRPr="00430F3C">
        <w:rPr>
          <w:rFonts w:ascii="Times New Roman" w:hAnsi="Times New Roman" w:cs="Times New Roman"/>
          <w:sz w:val="28"/>
          <w:szCs w:val="28"/>
        </w:rPr>
        <w:t>.</w:t>
      </w:r>
      <w:r w:rsidR="000511E4" w:rsidRPr="00430F3C">
        <w:rPr>
          <w:rFonts w:ascii="Times New Roman" w:hAnsi="Times New Roman" w:cs="Times New Roman"/>
          <w:sz w:val="28"/>
          <w:szCs w:val="28"/>
        </w:rPr>
        <w:t xml:space="preserve"> </w:t>
      </w:r>
      <w:r w:rsidRPr="00430F3C">
        <w:rPr>
          <w:rFonts w:ascii="Times New Roman" w:hAnsi="Times New Roman" w:cs="Times New Roman"/>
          <w:sz w:val="28"/>
          <w:szCs w:val="28"/>
        </w:rPr>
        <w:t>Трахтенберг</w:t>
      </w:r>
    </w:p>
    <w:p w:rsidR="00804564" w:rsidRPr="00430F3C" w:rsidRDefault="00430F3C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2EE">
        <w:rPr>
          <w:rFonts w:ascii="Times New Roman" w:hAnsi="Times New Roman" w:cs="Times New Roman"/>
          <w:sz w:val="28"/>
          <w:szCs w:val="28"/>
        </w:rPr>
        <w:t>Институт философии и права Уральского отделения РАН</w:t>
      </w:r>
    </w:p>
    <w:p w:rsidR="00430F3C" w:rsidRDefault="00430F3C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955" w:rsidRPr="00430F3C" w:rsidRDefault="00430F3C" w:rsidP="00430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52E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ЛЕКТРЕННОЕ ПРАВИТЕЛЬСТВО КАК ИНСТРУМЕНТ КОММУНИКАЦИИ ВЛАСТИ И БИЗНЕСА</w:t>
      </w:r>
    </w:p>
    <w:bookmarkEnd w:id="0"/>
    <w:p w:rsidR="00430F3C" w:rsidRPr="00430F3C" w:rsidRDefault="00430F3C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3C" w:rsidRDefault="00430F3C" w:rsidP="00430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EE">
        <w:rPr>
          <w:rFonts w:ascii="Times New Roman" w:hAnsi="Times New Roman" w:cs="Times New Roman"/>
          <w:sz w:val="28"/>
          <w:szCs w:val="28"/>
        </w:rPr>
        <w:t xml:space="preserve">«Электронное правительство», т.е. внедрение информационных технологий в государственное управление, позиционируется как инструмент перехода от иерархической, малоподвижной и закрытой управленческой системы к горизонтальным структурам, гибко и оперативно взаимодействующим с гражданами (G2C) и бизнесом (G2B). </w:t>
      </w:r>
    </w:p>
    <w:p w:rsidR="00430F3C" w:rsidRDefault="00430F3C" w:rsidP="00430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EE">
        <w:rPr>
          <w:rFonts w:ascii="Times New Roman" w:hAnsi="Times New Roman" w:cs="Times New Roman"/>
          <w:sz w:val="28"/>
          <w:szCs w:val="28"/>
        </w:rPr>
        <w:t xml:space="preserve">С появлением на базе концепции «электронного правительства» концепции «открытого правительства» акцент на взаимодействие с бизнесом усиливается. Бизнес рассматривается как главный бенефициар от размещения накопленных органами власти «открытых данных». Предполагается, что бизнес, используя «открытые данные», сможет оказывать целый комплекс новых услуг, тем самым выступая в качестве посредника между гражданами-потребителями и органами власти, и одновременно зарабатывая деньги. Следующим шагом становится превращение «открытых данных» в «большие данные», а государства – из поставщика данных, в их потребителя (после обработки бизнесом) и брокера. </w:t>
      </w:r>
    </w:p>
    <w:p w:rsidR="00430F3C" w:rsidRDefault="00430F3C" w:rsidP="00430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EE">
        <w:rPr>
          <w:rFonts w:ascii="Times New Roman" w:hAnsi="Times New Roman" w:cs="Times New Roman"/>
          <w:sz w:val="28"/>
          <w:szCs w:val="28"/>
        </w:rPr>
        <w:t xml:space="preserve">Однако реальный опыт внедрения электронного правительства мало соответствует этим установкам. </w:t>
      </w:r>
      <w:proofErr w:type="gramStart"/>
      <w:r w:rsidRPr="000D52EE">
        <w:rPr>
          <w:rFonts w:ascii="Times New Roman" w:hAnsi="Times New Roman" w:cs="Times New Roman"/>
          <w:sz w:val="28"/>
          <w:szCs w:val="28"/>
        </w:rPr>
        <w:t>Как показывает анализ, открытые данные отличаются низкой степенью востребованности, а основны</w:t>
      </w:r>
      <w:r>
        <w:rPr>
          <w:rFonts w:ascii="Times New Roman" w:hAnsi="Times New Roman" w:cs="Times New Roman"/>
          <w:sz w:val="28"/>
          <w:szCs w:val="28"/>
        </w:rPr>
        <w:t xml:space="preserve">е успехи связанных с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</w:t>
      </w:r>
      <w:r w:rsidRPr="000D52EE">
        <w:rPr>
          <w:rFonts w:ascii="Times New Roman" w:hAnsi="Times New Roman" w:cs="Times New Roman"/>
          <w:sz w:val="28"/>
          <w:szCs w:val="28"/>
        </w:rPr>
        <w:t>апов</w:t>
      </w:r>
      <w:proofErr w:type="spellEnd"/>
      <w:r w:rsidRPr="000D52EE">
        <w:rPr>
          <w:rFonts w:ascii="Times New Roman" w:hAnsi="Times New Roman" w:cs="Times New Roman"/>
          <w:sz w:val="28"/>
          <w:szCs w:val="28"/>
        </w:rPr>
        <w:t xml:space="preserve"> обеспечиваются сбором информации из гетерогенных источников. </w:t>
      </w:r>
      <w:proofErr w:type="gramEnd"/>
    </w:p>
    <w:p w:rsidR="009E3331" w:rsidRPr="00430F3C" w:rsidRDefault="00430F3C" w:rsidP="00430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EE">
        <w:rPr>
          <w:rFonts w:ascii="Times New Roman" w:hAnsi="Times New Roman" w:cs="Times New Roman"/>
          <w:sz w:val="28"/>
          <w:szCs w:val="28"/>
        </w:rPr>
        <w:t xml:space="preserve">Несмотря на все это, ожидания, связанные с </w:t>
      </w:r>
      <w:proofErr w:type="gramStart"/>
      <w:r w:rsidRPr="000D52EE">
        <w:rPr>
          <w:rFonts w:ascii="Times New Roman" w:hAnsi="Times New Roman" w:cs="Times New Roman"/>
          <w:sz w:val="28"/>
          <w:szCs w:val="28"/>
        </w:rPr>
        <w:t>бизнес-потенциалом</w:t>
      </w:r>
      <w:proofErr w:type="gramEnd"/>
      <w:r w:rsidRPr="000D52EE">
        <w:rPr>
          <w:rFonts w:ascii="Times New Roman" w:hAnsi="Times New Roman" w:cs="Times New Roman"/>
          <w:sz w:val="28"/>
          <w:szCs w:val="28"/>
        </w:rPr>
        <w:t xml:space="preserve"> электронного правительства, остаются в неприкосновенности, меняется только технологическая платформа, с которой связаны эти ожидания. Такая устойчивость ожиданий, постоянно приходящих в противоречие с </w:t>
      </w:r>
      <w:r w:rsidRPr="000D52EE">
        <w:rPr>
          <w:rFonts w:ascii="Times New Roman" w:hAnsi="Times New Roman" w:cs="Times New Roman"/>
          <w:sz w:val="28"/>
          <w:szCs w:val="28"/>
        </w:rPr>
        <w:lastRenderedPageBreak/>
        <w:t>реальностью, свидетельствует о том, что концепция электронного правительства выполняет идеологические функции. Его внедрение носит характер символической реформы и может не иметь ничего общего с реальной экономической отдачей.</w:t>
      </w:r>
    </w:p>
    <w:sectPr w:rsidR="009E3331" w:rsidRPr="0043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54" w:rsidRDefault="00D97854" w:rsidP="00524D20">
      <w:pPr>
        <w:spacing w:after="0" w:line="240" w:lineRule="auto"/>
      </w:pPr>
      <w:r>
        <w:separator/>
      </w:r>
    </w:p>
  </w:endnote>
  <w:endnote w:type="continuationSeparator" w:id="0">
    <w:p w:rsidR="00D97854" w:rsidRDefault="00D97854" w:rsidP="0052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54" w:rsidRDefault="00D97854" w:rsidP="00524D20">
      <w:pPr>
        <w:spacing w:after="0" w:line="240" w:lineRule="auto"/>
      </w:pPr>
      <w:r>
        <w:separator/>
      </w:r>
    </w:p>
  </w:footnote>
  <w:footnote w:type="continuationSeparator" w:id="0">
    <w:p w:rsidR="00D97854" w:rsidRDefault="00D97854" w:rsidP="0052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24"/>
    <w:rsid w:val="00017559"/>
    <w:rsid w:val="000322AC"/>
    <w:rsid w:val="00043A61"/>
    <w:rsid w:val="000511E4"/>
    <w:rsid w:val="0007756A"/>
    <w:rsid w:val="00147C4A"/>
    <w:rsid w:val="001C554F"/>
    <w:rsid w:val="0025482E"/>
    <w:rsid w:val="002A5150"/>
    <w:rsid w:val="002C6C1D"/>
    <w:rsid w:val="002D2AC3"/>
    <w:rsid w:val="00330761"/>
    <w:rsid w:val="00381D40"/>
    <w:rsid w:val="003F65C2"/>
    <w:rsid w:val="00430F3C"/>
    <w:rsid w:val="00436250"/>
    <w:rsid w:val="00524D20"/>
    <w:rsid w:val="005E129A"/>
    <w:rsid w:val="005E2E13"/>
    <w:rsid w:val="0061203C"/>
    <w:rsid w:val="006C12D7"/>
    <w:rsid w:val="00804564"/>
    <w:rsid w:val="00831A34"/>
    <w:rsid w:val="008B4C59"/>
    <w:rsid w:val="008D35E6"/>
    <w:rsid w:val="00924266"/>
    <w:rsid w:val="00936673"/>
    <w:rsid w:val="00966F12"/>
    <w:rsid w:val="009832A7"/>
    <w:rsid w:val="009E3331"/>
    <w:rsid w:val="00A83E47"/>
    <w:rsid w:val="00B6030D"/>
    <w:rsid w:val="00C232CE"/>
    <w:rsid w:val="00CA2A24"/>
    <w:rsid w:val="00CD4E2C"/>
    <w:rsid w:val="00D97854"/>
    <w:rsid w:val="00D97A69"/>
    <w:rsid w:val="00E4133F"/>
    <w:rsid w:val="00E42FB1"/>
    <w:rsid w:val="00E47B50"/>
    <w:rsid w:val="00E81241"/>
    <w:rsid w:val="00EA4348"/>
    <w:rsid w:val="00F43955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pr</cp:lastModifiedBy>
  <cp:revision>2</cp:revision>
  <dcterms:created xsi:type="dcterms:W3CDTF">2015-03-12T14:47:00Z</dcterms:created>
  <dcterms:modified xsi:type="dcterms:W3CDTF">2015-03-12T14:47:00Z</dcterms:modified>
</cp:coreProperties>
</file>