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15B4C" w14:textId="77777777" w:rsidR="00627D1B" w:rsidRPr="00FC2479" w:rsidRDefault="00E400C8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7D1B" w:rsidRPr="00FC24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7D1B" w:rsidRPr="00FC24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Костицын</w:t>
      </w:r>
      <w:proofErr w:type="spellEnd"/>
    </w:p>
    <w:p w14:paraId="3BA83B84" w14:textId="77777777" w:rsidR="00176EBB" w:rsidRPr="00080C09" w:rsidRDefault="008A6E51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C09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p w14:paraId="400006AD" w14:textId="77777777" w:rsidR="00DA1415" w:rsidRPr="00080C09" w:rsidRDefault="00DA1415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CFEE0" w14:textId="77777777" w:rsidR="008A6E51" w:rsidRPr="00080C09" w:rsidRDefault="00080C09" w:rsidP="00080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1A196E">
        <w:rPr>
          <w:rFonts w:ascii="Times New Roman" w:hAnsi="Times New Roman" w:cs="Times New Roman"/>
          <w:sz w:val="28"/>
          <w:szCs w:val="28"/>
        </w:rPr>
        <w:t>БЕННОСТИ КОММУНИКАЦИИ БИЗНЕСА С </w:t>
      </w:r>
      <w:r>
        <w:rPr>
          <w:rFonts w:ascii="Times New Roman" w:hAnsi="Times New Roman" w:cs="Times New Roman"/>
          <w:sz w:val="28"/>
          <w:szCs w:val="28"/>
        </w:rPr>
        <w:t>НАДНАЦИОНАЛЬНЫМИ ОРГАНАМИ УПРАВЛЕНИЯ</w:t>
      </w:r>
    </w:p>
    <w:p w14:paraId="799AC405" w14:textId="77777777" w:rsidR="00080C09" w:rsidRPr="00080C09" w:rsidRDefault="00080C09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5EDC31" w14:textId="77777777" w:rsidR="00080C09" w:rsidRDefault="00080C09" w:rsidP="00080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08">
        <w:rPr>
          <w:rFonts w:ascii="Times New Roman" w:hAnsi="Times New Roman" w:cs="Times New Roman"/>
          <w:sz w:val="28"/>
          <w:szCs w:val="28"/>
        </w:rPr>
        <w:t>Влияние регулирующих органов на бизнес в странах постсоветского пространства традиционно оценивается экспертами как высокое. Особый интерес у GR-специалистов вызывает ситуация с новыми наднациональными органами управления.</w:t>
      </w:r>
    </w:p>
    <w:p w14:paraId="6F321EB0" w14:textId="77777777" w:rsidR="00080C09" w:rsidRDefault="00080C09" w:rsidP="00080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08">
        <w:rPr>
          <w:rFonts w:ascii="Times New Roman" w:hAnsi="Times New Roman" w:cs="Times New Roman"/>
          <w:sz w:val="28"/>
          <w:szCs w:val="28"/>
        </w:rPr>
        <w:t>Ключевым из них в аспекте GR-коммуникации является Евразийская экономическая комиссия (ЕЭК). Интеграц</w:t>
      </w:r>
      <w:r w:rsidR="001A196E">
        <w:rPr>
          <w:rFonts w:ascii="Times New Roman" w:hAnsi="Times New Roman" w:cs="Times New Roman"/>
          <w:sz w:val="28"/>
          <w:szCs w:val="28"/>
        </w:rPr>
        <w:t>ия Беларуси и стран-партнеров в </w:t>
      </w:r>
      <w:r w:rsidRPr="00631C08">
        <w:rPr>
          <w:rFonts w:ascii="Times New Roman" w:hAnsi="Times New Roman" w:cs="Times New Roman"/>
          <w:sz w:val="28"/>
          <w:szCs w:val="28"/>
        </w:rPr>
        <w:t>Таможенный союз и Евразийский экономический союз неизбежно влечет за собой выход GR-коммуникации на наднациональный уровень.</w:t>
      </w:r>
    </w:p>
    <w:p w14:paraId="70D02C70" w14:textId="77777777" w:rsidR="00080C09" w:rsidRDefault="00080C09" w:rsidP="00080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08">
        <w:rPr>
          <w:rFonts w:ascii="Times New Roman" w:hAnsi="Times New Roman" w:cs="Times New Roman"/>
          <w:sz w:val="28"/>
          <w:szCs w:val="28"/>
        </w:rPr>
        <w:t>В структуре ЕЭК девять министерств, при этом их руководители распределены паритетным образом – по три министра-члена коллегии от каждой из стран.</w:t>
      </w:r>
    </w:p>
    <w:p w14:paraId="7D45B11B" w14:textId="77777777" w:rsidR="00080C09" w:rsidRDefault="00080C09" w:rsidP="00080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C08">
        <w:rPr>
          <w:rFonts w:ascii="Times New Roman" w:hAnsi="Times New Roman" w:cs="Times New Roman"/>
          <w:sz w:val="28"/>
          <w:szCs w:val="28"/>
        </w:rPr>
        <w:t>Четкая структура и принципы работы ЕЭК, схожие с принципами Еврокомиссии, образовали новую уникальную коммуникационную среду для бизнеса. Вот некоторые ее особенности.</w:t>
      </w:r>
    </w:p>
    <w:p w14:paraId="75A852B7" w14:textId="77777777" w:rsidR="00080C09" w:rsidRPr="00080C09" w:rsidRDefault="00080C09" w:rsidP="00080C09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C09">
        <w:rPr>
          <w:rFonts w:ascii="Times New Roman" w:hAnsi="Times New Roman" w:cs="Times New Roman"/>
          <w:sz w:val="28"/>
          <w:szCs w:val="28"/>
        </w:rPr>
        <w:t>В ЕЭК не работают механизмы внутреннего лоббирования, принятые в отдельных странах-участницах ТС.</w:t>
      </w:r>
    </w:p>
    <w:p w14:paraId="557A24B3" w14:textId="77777777" w:rsidR="00080C09" w:rsidRDefault="00080C09" w:rsidP="00080C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C09">
        <w:rPr>
          <w:rFonts w:ascii="Times New Roman" w:hAnsi="Times New Roman" w:cs="Times New Roman"/>
          <w:sz w:val="28"/>
          <w:szCs w:val="28"/>
        </w:rPr>
        <w:t>В условиях ЕЭК недобросовестные лоббисты не могут применить «личные связи» и финансовый ресурс, т.к. в ЕЭК коммуникации происходят публично и документируются.</w:t>
      </w:r>
    </w:p>
    <w:p w14:paraId="49DEC85C" w14:textId="77777777" w:rsidR="00080C09" w:rsidRDefault="00080C09" w:rsidP="00080C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C09">
        <w:rPr>
          <w:rFonts w:ascii="Times New Roman" w:hAnsi="Times New Roman" w:cs="Times New Roman"/>
          <w:sz w:val="28"/>
          <w:szCs w:val="28"/>
        </w:rPr>
        <w:t>2. Внутренние законодательства тре</w:t>
      </w:r>
      <w:r w:rsidR="001A196E">
        <w:rPr>
          <w:rFonts w:ascii="Times New Roman" w:hAnsi="Times New Roman" w:cs="Times New Roman"/>
          <w:sz w:val="28"/>
          <w:szCs w:val="28"/>
        </w:rPr>
        <w:t>х стран вторичны по отношению к </w:t>
      </w:r>
      <w:r w:rsidRPr="00080C09">
        <w:rPr>
          <w:rFonts w:ascii="Times New Roman" w:hAnsi="Times New Roman" w:cs="Times New Roman"/>
          <w:sz w:val="28"/>
          <w:szCs w:val="28"/>
        </w:rPr>
        <w:t>законодательству наднационального уровня.</w:t>
      </w:r>
    </w:p>
    <w:p w14:paraId="02B94964" w14:textId="77777777" w:rsidR="00080C09" w:rsidRDefault="00080C09" w:rsidP="00080C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C09">
        <w:rPr>
          <w:rFonts w:ascii="Times New Roman" w:hAnsi="Times New Roman" w:cs="Times New Roman"/>
          <w:sz w:val="28"/>
          <w:szCs w:val="28"/>
        </w:rPr>
        <w:t xml:space="preserve">В этом состоит суть Евразийского экономического союза: равные условия и равные возможности для всех. Это порождает массу противоречий </w:t>
      </w:r>
      <w:r w:rsidRPr="00080C09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1A196E">
        <w:rPr>
          <w:rFonts w:ascii="Times New Roman" w:hAnsi="Times New Roman" w:cs="Times New Roman"/>
          <w:sz w:val="28"/>
          <w:szCs w:val="28"/>
        </w:rPr>
        <w:t> </w:t>
      </w:r>
      <w:r w:rsidRPr="00080C09">
        <w:rPr>
          <w:rFonts w:ascii="Times New Roman" w:hAnsi="Times New Roman" w:cs="Times New Roman"/>
          <w:sz w:val="28"/>
          <w:szCs w:val="28"/>
        </w:rPr>
        <w:t>этапе переговоров, но они автоматически отпадают с момента принятия единого документа ЕЭК (например, технического регламента).</w:t>
      </w:r>
    </w:p>
    <w:p w14:paraId="19413E3F" w14:textId="77777777" w:rsidR="00080C09" w:rsidRDefault="00080C09" w:rsidP="00080C09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0C09">
        <w:rPr>
          <w:rFonts w:ascii="Times New Roman" w:hAnsi="Times New Roman" w:cs="Times New Roman"/>
          <w:sz w:val="28"/>
          <w:szCs w:val="28"/>
        </w:rPr>
        <w:t>Конфликт интересов в отношениях стран-партнеров решается путем переговоров до достижения полного консенсуса сторонами.</w:t>
      </w:r>
    </w:p>
    <w:p w14:paraId="76FDC436" w14:textId="77777777" w:rsidR="00080C09" w:rsidRDefault="00080C09" w:rsidP="00080C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C09">
        <w:rPr>
          <w:rFonts w:ascii="Times New Roman" w:hAnsi="Times New Roman" w:cs="Times New Roman"/>
          <w:sz w:val="28"/>
          <w:szCs w:val="28"/>
        </w:rPr>
        <w:t>Такой вектор работы ЕЭК позволяет решать вопросы конструктивным образом и приходить пусть к непростым, но взаимоприемлемым решениям. Правда, иногда это приводит к затягиванию переговоров и принятия итоговых документов.</w:t>
      </w:r>
    </w:p>
    <w:p w14:paraId="005D4DD9" w14:textId="77777777" w:rsidR="00627D1B" w:rsidRPr="00080C09" w:rsidRDefault="00080C09" w:rsidP="00080C0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C09">
        <w:rPr>
          <w:rFonts w:ascii="Times New Roman" w:hAnsi="Times New Roman" w:cs="Times New Roman"/>
          <w:sz w:val="28"/>
          <w:szCs w:val="28"/>
        </w:rPr>
        <w:t>Структура и принципы работы ЕЭК позволяют бизнесу рассчитывать на эффективную GR-коммуникацию, особенно когд</w:t>
      </w:r>
      <w:r w:rsidR="001A196E">
        <w:rPr>
          <w:rFonts w:ascii="Times New Roman" w:hAnsi="Times New Roman" w:cs="Times New Roman"/>
          <w:sz w:val="28"/>
          <w:szCs w:val="28"/>
        </w:rPr>
        <w:t xml:space="preserve">а консолидированную и </w:t>
      </w:r>
      <w:proofErr w:type="spellStart"/>
      <w:r w:rsidR="001A196E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1A196E">
        <w:rPr>
          <w:rFonts w:ascii="Times New Roman" w:hAnsi="Times New Roman" w:cs="Times New Roman"/>
          <w:sz w:val="28"/>
          <w:szCs w:val="28"/>
        </w:rPr>
        <w:t xml:space="preserve"> </w:t>
      </w:r>
      <w:r w:rsidRPr="00080C09">
        <w:rPr>
          <w:rFonts w:ascii="Times New Roman" w:hAnsi="Times New Roman" w:cs="Times New Roman"/>
          <w:sz w:val="28"/>
          <w:szCs w:val="28"/>
        </w:rPr>
        <w:t>подкрепленную позицию бизнеса выражают национальные и межнациональные бизнес-объединения.</w:t>
      </w:r>
      <w:bookmarkStart w:id="0" w:name="_GoBack"/>
      <w:bookmarkEnd w:id="0"/>
    </w:p>
    <w:sectPr w:rsidR="00627D1B" w:rsidRPr="00080C09" w:rsidSect="001A196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A6C69"/>
    <w:multiLevelType w:val="hybridMultilevel"/>
    <w:tmpl w:val="0EF4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717"/>
    <w:multiLevelType w:val="hybridMultilevel"/>
    <w:tmpl w:val="79EAA65A"/>
    <w:lvl w:ilvl="0" w:tplc="99D4D10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4B463A"/>
    <w:multiLevelType w:val="hybridMultilevel"/>
    <w:tmpl w:val="2E36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B"/>
    <w:rsid w:val="00080C09"/>
    <w:rsid w:val="00176EBB"/>
    <w:rsid w:val="001A196E"/>
    <w:rsid w:val="00627D1B"/>
    <w:rsid w:val="006830D8"/>
    <w:rsid w:val="00683E8B"/>
    <w:rsid w:val="0084709F"/>
    <w:rsid w:val="008A6E51"/>
    <w:rsid w:val="00926002"/>
    <w:rsid w:val="009F4DA6"/>
    <w:rsid w:val="00AF16B3"/>
    <w:rsid w:val="00BE54C7"/>
    <w:rsid w:val="00DA1415"/>
    <w:rsid w:val="00E400C8"/>
    <w:rsid w:val="00E7750D"/>
    <w:rsid w:val="00EF7B40"/>
    <w:rsid w:val="00F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300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 Таранова</cp:lastModifiedBy>
  <cp:revision>4</cp:revision>
  <dcterms:created xsi:type="dcterms:W3CDTF">2015-03-10T18:09:00Z</dcterms:created>
  <dcterms:modified xsi:type="dcterms:W3CDTF">2015-03-11T16:56:00Z</dcterms:modified>
</cp:coreProperties>
</file>