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60" w:rsidRDefault="00616060" w:rsidP="00616060">
      <w:pPr>
        <w:suppressAutoHyphens w:val="0"/>
        <w:spacing w:line="276" w:lineRule="auto"/>
        <w:ind w:firstLine="709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Аннотация магистерской диссертации</w:t>
      </w:r>
    </w:p>
    <w:p w:rsidR="00616060" w:rsidRDefault="00616060" w:rsidP="00616060">
      <w:pPr>
        <w:suppressAutoHyphens w:val="0"/>
        <w:spacing w:line="276" w:lineRule="auto"/>
        <w:ind w:firstLine="709"/>
        <w:jc w:val="center"/>
        <w:rPr>
          <w:rFonts w:ascii="Arial" w:eastAsia="Times New Roman" w:hAnsi="Arial" w:cs="Arial"/>
          <w:b/>
          <w:color w:val="000000"/>
        </w:rPr>
      </w:pPr>
      <w:proofErr w:type="spellStart"/>
      <w:r>
        <w:rPr>
          <w:rFonts w:ascii="Arial" w:eastAsia="Times New Roman" w:hAnsi="Arial" w:cs="Arial"/>
          <w:b/>
          <w:color w:val="000000"/>
        </w:rPr>
        <w:t>Летуновской</w:t>
      </w:r>
      <w:proofErr w:type="spellEnd"/>
      <w:r>
        <w:rPr>
          <w:rFonts w:ascii="Arial" w:eastAsia="Times New Roman" w:hAnsi="Arial" w:cs="Arial"/>
          <w:b/>
          <w:color w:val="000000"/>
        </w:rPr>
        <w:t xml:space="preserve"> Марины Владимировны</w:t>
      </w:r>
    </w:p>
    <w:p w:rsidR="00616060" w:rsidRDefault="00616060" w:rsidP="00616060">
      <w:pPr>
        <w:suppressAutoHyphens w:val="0"/>
        <w:spacing w:line="276" w:lineRule="auto"/>
        <w:ind w:firstLine="709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«РЕГУЛИРОВАНИЕ И САМОРЕГУЛИРОВАНИЕ ЛОББИСТСКОЙ ДЕЯТЕЛЬНОСТИ В РОССИИ»</w:t>
      </w:r>
    </w:p>
    <w:p w:rsidR="00616060" w:rsidRPr="007A43AD" w:rsidRDefault="00616060" w:rsidP="00616060">
      <w:pPr>
        <w:suppressAutoHyphens w:val="0"/>
        <w:spacing w:line="276" w:lineRule="auto"/>
        <w:ind w:firstLine="709"/>
        <w:jc w:val="center"/>
        <w:rPr>
          <w:rFonts w:ascii="Arial" w:eastAsia="Times New Roman" w:hAnsi="Arial" w:cs="Arial"/>
          <w:b/>
          <w:color w:val="000000"/>
        </w:rPr>
      </w:pPr>
      <w:r w:rsidRPr="007A43AD">
        <w:rPr>
          <w:rFonts w:ascii="Arial" w:eastAsia="Times New Roman" w:hAnsi="Arial" w:cs="Arial"/>
          <w:b/>
          <w:color w:val="000000"/>
        </w:rPr>
        <w:t xml:space="preserve">Н. рук. – </w:t>
      </w:r>
      <w:proofErr w:type="spellStart"/>
      <w:r w:rsidRPr="007A43AD">
        <w:rPr>
          <w:rFonts w:ascii="Arial" w:eastAsia="Times New Roman" w:hAnsi="Arial" w:cs="Arial"/>
          <w:b/>
          <w:color w:val="000000"/>
        </w:rPr>
        <w:t>Дорский</w:t>
      </w:r>
      <w:proofErr w:type="spellEnd"/>
      <w:r w:rsidRPr="007A43AD">
        <w:rPr>
          <w:rFonts w:ascii="Arial" w:eastAsia="Times New Roman" w:hAnsi="Arial" w:cs="Arial"/>
          <w:b/>
          <w:color w:val="000000"/>
        </w:rPr>
        <w:t xml:space="preserve"> Андрей Юрьевич, доцент, доктор филос. наук </w:t>
      </w:r>
    </w:p>
    <w:p w:rsidR="00616060" w:rsidRPr="007A43AD" w:rsidRDefault="00616060" w:rsidP="00616060">
      <w:pPr>
        <w:suppressAutoHyphens w:val="0"/>
        <w:spacing w:line="276" w:lineRule="auto"/>
        <w:ind w:firstLine="709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Кафедра с</w:t>
      </w:r>
      <w:r w:rsidRPr="007A43AD">
        <w:rPr>
          <w:rFonts w:ascii="Arial" w:eastAsia="Times New Roman" w:hAnsi="Arial" w:cs="Arial"/>
          <w:b/>
          <w:color w:val="000000"/>
        </w:rPr>
        <w:t>вяз</w:t>
      </w:r>
      <w:r>
        <w:rPr>
          <w:rFonts w:ascii="Arial" w:eastAsia="Times New Roman" w:hAnsi="Arial" w:cs="Arial"/>
          <w:b/>
          <w:color w:val="000000"/>
        </w:rPr>
        <w:t>ей</w:t>
      </w:r>
      <w:r w:rsidRPr="007A43AD">
        <w:rPr>
          <w:rFonts w:ascii="Arial" w:eastAsia="Times New Roman" w:hAnsi="Arial" w:cs="Arial"/>
          <w:b/>
          <w:color w:val="000000"/>
        </w:rPr>
        <w:t xml:space="preserve"> с общественностью в политике и государственном управлении</w:t>
      </w:r>
    </w:p>
    <w:p w:rsidR="00616060" w:rsidRDefault="00616060" w:rsidP="00616060">
      <w:pPr>
        <w:suppressAutoHyphens w:val="0"/>
        <w:spacing w:line="276" w:lineRule="auto"/>
        <w:ind w:firstLine="709"/>
        <w:jc w:val="center"/>
        <w:rPr>
          <w:rFonts w:ascii="Arial" w:eastAsia="Times New Roman" w:hAnsi="Arial" w:cs="Arial"/>
          <w:color w:val="000000"/>
        </w:rPr>
      </w:pPr>
    </w:p>
    <w:p w:rsidR="00616060" w:rsidRDefault="00616060" w:rsidP="00616060">
      <w:pPr>
        <w:suppressAutoHyphens w:val="0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eastAsia="Microsoft YaHei" w:hAnsi="Arial" w:cs="Arial"/>
          <w:b/>
          <w:bCs/>
          <w:color w:val="000000"/>
        </w:rPr>
        <w:t xml:space="preserve">Ключевые слова: </w:t>
      </w:r>
      <w:r>
        <w:rPr>
          <w:rFonts w:ascii="Arial" w:eastAsia="Microsoft YaHei" w:hAnsi="Arial" w:cs="Arial"/>
          <w:color w:val="000000"/>
        </w:rPr>
        <w:t xml:space="preserve">регулирование, лоббизм, саморегулирование, лоббистская деятельность, законодательство о лоббизме; </w:t>
      </w:r>
      <w:proofErr w:type="spellStart"/>
      <w:r>
        <w:rPr>
          <w:rFonts w:ascii="Arial" w:eastAsia="Microsoft YaHei" w:hAnsi="Arial" w:cs="Arial"/>
          <w:color w:val="000000"/>
        </w:rPr>
        <w:t>саморегулируемые</w:t>
      </w:r>
      <w:proofErr w:type="spellEnd"/>
      <w:r>
        <w:rPr>
          <w:rFonts w:ascii="Arial" w:eastAsia="Microsoft YaHei" w:hAnsi="Arial" w:cs="Arial"/>
          <w:color w:val="000000"/>
        </w:rPr>
        <w:t xml:space="preserve"> организации лоббистов.</w:t>
      </w:r>
    </w:p>
    <w:p w:rsidR="00616060" w:rsidRDefault="00616060" w:rsidP="00616060">
      <w:pPr>
        <w:suppressAutoHyphens w:val="0"/>
        <w:spacing w:line="276" w:lineRule="auto"/>
        <w:ind w:firstLine="709"/>
        <w:rPr>
          <w:rFonts w:ascii="Arial" w:hAnsi="Arial" w:cs="Arial"/>
        </w:rPr>
      </w:pPr>
    </w:p>
    <w:p w:rsidR="00616060" w:rsidRDefault="00616060" w:rsidP="00616060">
      <w:pPr>
        <w:tabs>
          <w:tab w:val="left" w:pos="567"/>
        </w:tabs>
        <w:suppressAutoHyphens w:val="0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настоящее время сотрудничество бизнеса и власти выведено за рамки правового поля и не попадает под установленные регламенты. Существующая в нашей стране практика лоббизма полностью </w:t>
      </w:r>
      <w:proofErr w:type="gramStart"/>
      <w:r>
        <w:rPr>
          <w:rFonts w:ascii="Arial" w:hAnsi="Arial" w:cs="Arial"/>
        </w:rPr>
        <w:t>игнорируется законодательством</w:t>
      </w:r>
      <w:proofErr w:type="gramEnd"/>
      <w:r>
        <w:rPr>
          <w:rFonts w:ascii="Arial" w:hAnsi="Arial" w:cs="Arial"/>
        </w:rPr>
        <w:t xml:space="preserve"> Российской Федерации. Вместе с тем общественность очень остро реагирует на неясные для нее и неурегулированные формы сотрудничества государства и  бизнеса, которые власть, в свою очередь, затрудняется раскрыть. Именно остротой вопроса и обусловлена </w:t>
      </w:r>
      <w:r>
        <w:rPr>
          <w:rFonts w:ascii="Arial" w:hAnsi="Arial" w:cs="Arial"/>
          <w:b/>
        </w:rPr>
        <w:t xml:space="preserve">актуальность </w:t>
      </w:r>
      <w:r>
        <w:rPr>
          <w:rFonts w:ascii="Arial" w:hAnsi="Arial" w:cs="Arial"/>
        </w:rPr>
        <w:t>проведенного исследования. Особенно четко эта актуальность обозначилась в связи с последними предложенными Президентом Российской Федерации мерами, среди которых – принятие Закона «О лоббизме».</w:t>
      </w:r>
    </w:p>
    <w:p w:rsidR="00616060" w:rsidRDefault="00616060" w:rsidP="00616060">
      <w:pPr>
        <w:tabs>
          <w:tab w:val="left" w:pos="567"/>
        </w:tabs>
        <w:suppressAutoHyphens w:val="0"/>
        <w:spacing w:line="276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Являясь уже долгие годы в некоторых странах развитым устойчивым институтом, лоббизм в России в настоящее время – достаточно молодое явление. Никто не станет отрицать факт существования лоббистской деятельности в нашей стране. Она не только существует, но и процветает, становится престижной высокооплачиваемой профессиональной деятельностью. </w:t>
      </w:r>
      <w:proofErr w:type="gramStart"/>
      <w:r>
        <w:rPr>
          <w:rFonts w:ascii="Arial" w:hAnsi="Arial" w:cs="Arial"/>
        </w:rPr>
        <w:t>Однако до сих пор ни в научном, ни в профессиональном сообществе нет единого признанного подхода к институту лоббизма и регулированию лоббистской деятельности.</w:t>
      </w:r>
      <w:proofErr w:type="gramEnd"/>
      <w:r>
        <w:rPr>
          <w:rFonts w:ascii="Arial" w:hAnsi="Arial" w:cs="Arial"/>
        </w:rPr>
        <w:t xml:space="preserve"> Предлагаются принципиально различные </w:t>
      </w:r>
      <w:proofErr w:type="gramStart"/>
      <w:r>
        <w:rPr>
          <w:rFonts w:ascii="Arial" w:hAnsi="Arial" w:cs="Arial"/>
        </w:rPr>
        <w:t>подходы</w:t>
      </w:r>
      <w:proofErr w:type="gramEnd"/>
      <w:r>
        <w:rPr>
          <w:rFonts w:ascii="Arial" w:hAnsi="Arial" w:cs="Arial"/>
        </w:rPr>
        <w:t xml:space="preserve"> как к ее правовому регулированию, так и к саморегулированию. Полностью отсутствуют научные работы, позволяющие оценить состояние и перспективы взаимодействия этих способов регулирования в России. Указанные обстоятельства определяют </w:t>
      </w:r>
      <w:r>
        <w:rPr>
          <w:rFonts w:ascii="Arial" w:hAnsi="Arial" w:cs="Arial"/>
          <w:b/>
        </w:rPr>
        <w:t xml:space="preserve">научную новизну </w:t>
      </w:r>
      <w:r>
        <w:rPr>
          <w:rFonts w:ascii="Arial" w:hAnsi="Arial" w:cs="Arial"/>
        </w:rPr>
        <w:t>диссертации.</w:t>
      </w:r>
    </w:p>
    <w:p w:rsidR="00616060" w:rsidRDefault="00616060" w:rsidP="00616060">
      <w:pPr>
        <w:tabs>
          <w:tab w:val="left" w:pos="567"/>
        </w:tabs>
        <w:suppressAutoHyphens w:val="0"/>
        <w:spacing w:line="276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Объектом</w:t>
      </w:r>
      <w:r>
        <w:rPr>
          <w:rFonts w:ascii="Arial" w:hAnsi="Arial" w:cs="Arial"/>
        </w:rPr>
        <w:t xml:space="preserve"> данного исследования является регулирование лоббистской деятельности. </w:t>
      </w:r>
    </w:p>
    <w:p w:rsidR="00616060" w:rsidRDefault="00616060" w:rsidP="00616060">
      <w:pPr>
        <w:tabs>
          <w:tab w:val="left" w:pos="567"/>
        </w:tabs>
        <w:suppressAutoHyphens w:val="0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Предметом</w:t>
      </w:r>
      <w:r>
        <w:rPr>
          <w:rFonts w:ascii="Arial" w:hAnsi="Arial" w:cs="Arial"/>
        </w:rPr>
        <w:t xml:space="preserve"> исследования выступает соотношение различных систем регулирования лоббизма в Российской Федерации.</w:t>
      </w:r>
    </w:p>
    <w:p w:rsidR="00616060" w:rsidRDefault="00616060" w:rsidP="00616060">
      <w:pPr>
        <w:tabs>
          <w:tab w:val="left" w:pos="567"/>
        </w:tabs>
        <w:suppressAutoHyphens w:val="0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данной работе автор ставит перед собой </w:t>
      </w:r>
      <w:r w:rsidRPr="007A43AD">
        <w:rPr>
          <w:rFonts w:ascii="Arial" w:hAnsi="Arial" w:cs="Arial"/>
          <w:b/>
        </w:rPr>
        <w:t>цель</w:t>
      </w:r>
      <w:r>
        <w:rPr>
          <w:rFonts w:ascii="Arial" w:hAnsi="Arial" w:cs="Arial"/>
        </w:rPr>
        <w:t xml:space="preserve"> выявить наиболее </w:t>
      </w:r>
      <w:r w:rsidRPr="004A741C">
        <w:rPr>
          <w:rFonts w:ascii="Arial" w:hAnsi="Arial" w:cs="Arial"/>
        </w:rPr>
        <w:t>подходящую для России модель сочетания правового регулирования и саморегулирования</w:t>
      </w:r>
      <w:r>
        <w:rPr>
          <w:rFonts w:ascii="Arial" w:hAnsi="Arial" w:cs="Arial"/>
        </w:rPr>
        <w:t xml:space="preserve"> лоббистской деятельности.</w:t>
      </w:r>
    </w:p>
    <w:p w:rsidR="00616060" w:rsidRDefault="00616060" w:rsidP="00616060">
      <w:pPr>
        <w:tabs>
          <w:tab w:val="left" w:pos="567"/>
        </w:tabs>
        <w:suppressAutoHyphens w:val="0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достижения указанной цели поставлены следующие </w:t>
      </w:r>
      <w:r w:rsidRPr="007A43AD">
        <w:rPr>
          <w:rFonts w:ascii="Arial" w:hAnsi="Arial" w:cs="Arial"/>
          <w:b/>
        </w:rPr>
        <w:t>задачи</w:t>
      </w:r>
      <w:r>
        <w:rPr>
          <w:rFonts w:ascii="Arial" w:hAnsi="Arial" w:cs="Arial"/>
        </w:rPr>
        <w:t>:</w:t>
      </w:r>
    </w:p>
    <w:p w:rsidR="00616060" w:rsidRPr="007A43AD" w:rsidRDefault="00616060" w:rsidP="004A741C">
      <w:pPr>
        <w:pStyle w:val="afe"/>
        <w:numPr>
          <w:ilvl w:val="0"/>
          <w:numId w:val="4"/>
        </w:numPr>
        <w:spacing w:after="0" w:line="276" w:lineRule="auto"/>
        <w:ind w:left="0" w:firstLine="1069"/>
        <w:jc w:val="both"/>
        <w:rPr>
          <w:rFonts w:ascii="Arial" w:hAnsi="Arial" w:cs="Arial"/>
          <w:sz w:val="24"/>
          <w:szCs w:val="24"/>
        </w:rPr>
      </w:pPr>
      <w:r w:rsidRPr="007A43AD">
        <w:rPr>
          <w:rFonts w:ascii="Arial" w:hAnsi="Arial" w:cs="Arial"/>
          <w:sz w:val="24"/>
          <w:szCs w:val="24"/>
        </w:rPr>
        <w:lastRenderedPageBreak/>
        <w:t>рассмотреть существующие определения понятия «лоббизм»; выделить те, которые наиболее четко отражают сущность явления;</w:t>
      </w:r>
    </w:p>
    <w:p w:rsidR="00616060" w:rsidRDefault="00616060" w:rsidP="004A741C">
      <w:pPr>
        <w:pStyle w:val="afe"/>
        <w:numPr>
          <w:ilvl w:val="0"/>
          <w:numId w:val="4"/>
        </w:numPr>
        <w:tabs>
          <w:tab w:val="left" w:pos="567"/>
        </w:tabs>
        <w:spacing w:after="0" w:line="276" w:lineRule="auto"/>
        <w:ind w:left="0" w:firstLine="1069"/>
        <w:jc w:val="both"/>
        <w:rPr>
          <w:rFonts w:ascii="Arial" w:hAnsi="Arial" w:cs="Arial"/>
          <w:sz w:val="24"/>
          <w:szCs w:val="24"/>
        </w:rPr>
      </w:pPr>
      <w:r w:rsidRPr="007A43AD">
        <w:rPr>
          <w:rFonts w:ascii="Arial" w:hAnsi="Arial" w:cs="Arial"/>
          <w:sz w:val="24"/>
          <w:szCs w:val="24"/>
        </w:rPr>
        <w:t xml:space="preserve">проанализировать </w:t>
      </w:r>
      <w:r>
        <w:rPr>
          <w:rFonts w:ascii="Arial" w:hAnsi="Arial" w:cs="Arial"/>
          <w:sz w:val="24"/>
          <w:szCs w:val="24"/>
        </w:rPr>
        <w:t>регулирование</w:t>
      </w:r>
      <w:r w:rsidRPr="007A43AD">
        <w:rPr>
          <w:rFonts w:ascii="Arial" w:hAnsi="Arial" w:cs="Arial"/>
          <w:sz w:val="24"/>
          <w:szCs w:val="24"/>
        </w:rPr>
        <w:t xml:space="preserve"> лоббизма за рубежом, выявить наиболее слабые и сильные стороны </w:t>
      </w:r>
      <w:r>
        <w:rPr>
          <w:rFonts w:ascii="Arial" w:hAnsi="Arial" w:cs="Arial"/>
          <w:sz w:val="24"/>
          <w:szCs w:val="24"/>
        </w:rPr>
        <w:t>различных моделей</w:t>
      </w:r>
      <w:r w:rsidRPr="007A43AD">
        <w:rPr>
          <w:rFonts w:ascii="Arial" w:hAnsi="Arial" w:cs="Arial"/>
          <w:sz w:val="24"/>
          <w:szCs w:val="24"/>
        </w:rPr>
        <w:t>;</w:t>
      </w:r>
      <w:r w:rsidRPr="00215235">
        <w:rPr>
          <w:rFonts w:ascii="Arial" w:hAnsi="Arial" w:cs="Arial"/>
          <w:sz w:val="24"/>
          <w:szCs w:val="24"/>
        </w:rPr>
        <w:t xml:space="preserve"> </w:t>
      </w:r>
    </w:p>
    <w:p w:rsidR="00616060" w:rsidRPr="007A43AD" w:rsidRDefault="00616060" w:rsidP="004A741C">
      <w:pPr>
        <w:pStyle w:val="afe"/>
        <w:numPr>
          <w:ilvl w:val="0"/>
          <w:numId w:val="4"/>
        </w:numPr>
        <w:tabs>
          <w:tab w:val="left" w:pos="567"/>
        </w:tabs>
        <w:spacing w:after="0" w:line="276" w:lineRule="auto"/>
        <w:ind w:left="0" w:firstLine="1069"/>
        <w:jc w:val="both"/>
        <w:rPr>
          <w:rFonts w:ascii="Arial" w:hAnsi="Arial" w:cs="Arial"/>
          <w:sz w:val="24"/>
          <w:szCs w:val="24"/>
        </w:rPr>
      </w:pPr>
      <w:r w:rsidRPr="007A43AD">
        <w:rPr>
          <w:rFonts w:ascii="Arial" w:hAnsi="Arial" w:cs="Arial"/>
          <w:sz w:val="24"/>
          <w:szCs w:val="24"/>
        </w:rPr>
        <w:t>проанализировать возможности применения зарубежного опыта регулирования лоббизма в России;</w:t>
      </w:r>
    </w:p>
    <w:p w:rsidR="00616060" w:rsidRPr="007A43AD" w:rsidRDefault="00616060" w:rsidP="004A741C">
      <w:pPr>
        <w:pStyle w:val="afe"/>
        <w:numPr>
          <w:ilvl w:val="0"/>
          <w:numId w:val="4"/>
        </w:numPr>
        <w:tabs>
          <w:tab w:val="left" w:pos="567"/>
        </w:tabs>
        <w:spacing w:after="0" w:line="276" w:lineRule="auto"/>
        <w:ind w:left="0" w:firstLine="1069"/>
        <w:jc w:val="both"/>
        <w:rPr>
          <w:rFonts w:ascii="Arial" w:hAnsi="Arial" w:cs="Arial"/>
          <w:sz w:val="24"/>
          <w:szCs w:val="24"/>
        </w:rPr>
      </w:pPr>
      <w:r w:rsidRPr="007A43AD">
        <w:rPr>
          <w:rFonts w:ascii="Arial" w:hAnsi="Arial" w:cs="Arial"/>
          <w:sz w:val="24"/>
          <w:szCs w:val="24"/>
        </w:rPr>
        <w:t>исследовать правовое поле Российской Федерации на наличие в нем норм о лоббизме и/или аналогичных явлениях;</w:t>
      </w:r>
    </w:p>
    <w:p w:rsidR="00616060" w:rsidRPr="004A741C" w:rsidRDefault="00616060" w:rsidP="004A741C">
      <w:pPr>
        <w:pStyle w:val="afe"/>
        <w:numPr>
          <w:ilvl w:val="0"/>
          <w:numId w:val="4"/>
        </w:numPr>
        <w:tabs>
          <w:tab w:val="left" w:pos="567"/>
        </w:tabs>
        <w:spacing w:after="0" w:line="276" w:lineRule="auto"/>
        <w:ind w:left="0" w:firstLine="1069"/>
        <w:jc w:val="both"/>
        <w:rPr>
          <w:rFonts w:ascii="Arial" w:hAnsi="Arial" w:cs="Arial"/>
          <w:sz w:val="24"/>
          <w:szCs w:val="24"/>
        </w:rPr>
      </w:pPr>
      <w:r w:rsidRPr="007A43AD">
        <w:rPr>
          <w:rFonts w:ascii="Arial" w:hAnsi="Arial" w:cs="Arial"/>
          <w:sz w:val="24"/>
          <w:szCs w:val="24"/>
        </w:rPr>
        <w:t>проанализировать информационное поле Российской Федерации за 2013 год на наличие освещения лоббистской деятельности, тенденций общественных настроений по вопросу принятия за</w:t>
      </w:r>
      <w:r w:rsidR="004A741C">
        <w:rPr>
          <w:rFonts w:ascii="Arial" w:hAnsi="Arial" w:cs="Arial"/>
          <w:sz w:val="24"/>
          <w:szCs w:val="24"/>
        </w:rPr>
        <w:t>конодательного акта о лоббизме</w:t>
      </w:r>
      <w:r w:rsidRPr="004A741C">
        <w:rPr>
          <w:rFonts w:ascii="Arial" w:hAnsi="Arial" w:cs="Arial"/>
          <w:sz w:val="24"/>
          <w:szCs w:val="24"/>
        </w:rPr>
        <w:t>;</w:t>
      </w:r>
    </w:p>
    <w:p w:rsidR="00616060" w:rsidRDefault="00616060" w:rsidP="004A741C">
      <w:pPr>
        <w:pStyle w:val="afe"/>
        <w:numPr>
          <w:ilvl w:val="0"/>
          <w:numId w:val="4"/>
        </w:numPr>
        <w:tabs>
          <w:tab w:val="left" w:pos="567"/>
        </w:tabs>
        <w:spacing w:after="0" w:line="276" w:lineRule="auto"/>
        <w:ind w:left="0" w:firstLine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описать существующую в России систему саморегулирования, уточнить ее действие в сфере лоббизма;</w:t>
      </w:r>
    </w:p>
    <w:p w:rsidR="00616060" w:rsidRPr="007A43AD" w:rsidRDefault="00616060" w:rsidP="004A741C">
      <w:pPr>
        <w:pStyle w:val="afe"/>
        <w:numPr>
          <w:ilvl w:val="0"/>
          <w:numId w:val="4"/>
        </w:numPr>
        <w:tabs>
          <w:tab w:val="left" w:pos="567"/>
        </w:tabs>
        <w:spacing w:after="0" w:line="276" w:lineRule="auto"/>
        <w:ind w:left="0" w:firstLine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 оптимальное сочетание законодательного и этического регулирования в российских условиях;</w:t>
      </w:r>
    </w:p>
    <w:p w:rsidR="00616060" w:rsidRPr="007A43AD" w:rsidRDefault="00616060" w:rsidP="004A741C">
      <w:pPr>
        <w:pStyle w:val="afe"/>
        <w:numPr>
          <w:ilvl w:val="0"/>
          <w:numId w:val="4"/>
        </w:numPr>
        <w:tabs>
          <w:tab w:val="left" w:pos="567"/>
        </w:tabs>
        <w:spacing w:after="0" w:line="276" w:lineRule="auto"/>
        <w:ind w:left="0" w:firstLine="1069"/>
        <w:jc w:val="both"/>
        <w:rPr>
          <w:rFonts w:ascii="Arial" w:hAnsi="Arial" w:cs="Arial"/>
          <w:sz w:val="24"/>
          <w:szCs w:val="24"/>
        </w:rPr>
      </w:pPr>
      <w:r w:rsidRPr="007A43AD">
        <w:rPr>
          <w:rFonts w:ascii="Arial" w:hAnsi="Arial" w:cs="Arial"/>
          <w:sz w:val="24"/>
          <w:szCs w:val="24"/>
        </w:rPr>
        <w:t>разработать обязательные нормы, подлежащие вклю</w:t>
      </w:r>
      <w:r>
        <w:rPr>
          <w:rFonts w:ascii="Arial" w:hAnsi="Arial" w:cs="Arial"/>
          <w:sz w:val="24"/>
          <w:szCs w:val="24"/>
        </w:rPr>
        <w:t>чению в законопроект о лоббизме.</w:t>
      </w:r>
    </w:p>
    <w:p w:rsidR="00616060" w:rsidRDefault="00616060" w:rsidP="00616060">
      <w:pPr>
        <w:tabs>
          <w:tab w:val="left" w:pos="567"/>
        </w:tabs>
        <w:suppressAutoHyphens w:val="0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разрешения сформулированных задач в рамках исследования были применены такие </w:t>
      </w:r>
      <w:r w:rsidRPr="004A741C">
        <w:rPr>
          <w:rFonts w:ascii="Arial" w:hAnsi="Arial" w:cs="Arial"/>
          <w:b/>
        </w:rPr>
        <w:t>методы</w:t>
      </w:r>
      <w:r>
        <w:rPr>
          <w:rFonts w:ascii="Arial" w:hAnsi="Arial" w:cs="Arial"/>
        </w:rPr>
        <w:t xml:space="preserve">, как сравнительный анализ документов и публикаций СМИ, методы толкования нормативных актов, </w:t>
      </w:r>
      <w:proofErr w:type="spellStart"/>
      <w:r>
        <w:rPr>
          <w:rFonts w:ascii="Arial" w:hAnsi="Arial" w:cs="Arial"/>
        </w:rPr>
        <w:t>контент-анализ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интернет-ресурсов</w:t>
      </w:r>
      <w:proofErr w:type="spellEnd"/>
      <w:r>
        <w:rPr>
          <w:rFonts w:ascii="Arial" w:hAnsi="Arial" w:cs="Arial"/>
        </w:rPr>
        <w:t>, экспертное интервью, построение гипотез, метод включенного наблюдения.</w:t>
      </w:r>
    </w:p>
    <w:p w:rsidR="00616060" w:rsidRDefault="00616060" w:rsidP="00616060">
      <w:pPr>
        <w:tabs>
          <w:tab w:val="left" w:pos="567"/>
        </w:tabs>
        <w:suppressAutoHyphens w:val="0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Исследование проводилось на основе изучения законодательной базы Российской Федерации, специализированной литературы по </w:t>
      </w:r>
      <w:r>
        <w:rPr>
          <w:rFonts w:ascii="Arial" w:hAnsi="Arial" w:cs="Arial"/>
          <w:lang w:val="en-US"/>
        </w:rPr>
        <w:t>PR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GR</w:t>
      </w:r>
      <w:r>
        <w:rPr>
          <w:rFonts w:ascii="Arial" w:hAnsi="Arial" w:cs="Arial"/>
        </w:rPr>
        <w:t xml:space="preserve"> и лоббизму, а также публикаций на специализированных Интернет-ресурсах и в СМИ в целом. Особую значимость для создания </w:t>
      </w:r>
      <w:r w:rsidRPr="004A741C">
        <w:rPr>
          <w:rFonts w:ascii="Arial" w:hAnsi="Arial" w:cs="Arial"/>
          <w:b/>
        </w:rPr>
        <w:t>теоретико-методологической базы</w:t>
      </w:r>
      <w:r>
        <w:rPr>
          <w:rFonts w:ascii="Arial" w:hAnsi="Arial" w:cs="Arial"/>
        </w:rPr>
        <w:t xml:space="preserve"> исследования имели работы Э.Д. </w:t>
      </w:r>
      <w:proofErr w:type="spellStart"/>
      <w:r>
        <w:rPr>
          <w:rFonts w:ascii="Arial" w:hAnsi="Arial" w:cs="Arial"/>
        </w:rPr>
        <w:t>Лозанского</w:t>
      </w:r>
      <w:proofErr w:type="spellEnd"/>
      <w:r>
        <w:rPr>
          <w:rFonts w:ascii="Arial" w:hAnsi="Arial" w:cs="Arial"/>
        </w:rPr>
        <w:t xml:space="preserve">, Д.А. Максимова и П.В </w:t>
      </w:r>
      <w:proofErr w:type="spellStart"/>
      <w:r>
        <w:rPr>
          <w:rFonts w:ascii="Arial" w:hAnsi="Arial" w:cs="Arial"/>
        </w:rPr>
        <w:t>Топелигина</w:t>
      </w:r>
      <w:proofErr w:type="spellEnd"/>
      <w:r>
        <w:rPr>
          <w:rFonts w:ascii="Arial" w:hAnsi="Arial" w:cs="Arial"/>
        </w:rPr>
        <w:t xml:space="preserve">, П.А. Толстых,  А.Б. Шатилова и А.С. Никитина, а также коллективные труды под редакцией  Л.В. </w:t>
      </w:r>
      <w:proofErr w:type="spellStart"/>
      <w:r>
        <w:rPr>
          <w:rFonts w:ascii="Arial" w:hAnsi="Arial" w:cs="Arial"/>
        </w:rPr>
        <w:t>Сморгунова</w:t>
      </w:r>
      <w:proofErr w:type="spellEnd"/>
      <w:r>
        <w:rPr>
          <w:rFonts w:ascii="Arial" w:hAnsi="Arial" w:cs="Arial"/>
        </w:rPr>
        <w:t xml:space="preserve"> и Л.Н. Тимофеевой, И.Е. </w:t>
      </w:r>
      <w:proofErr w:type="spellStart"/>
      <w:r>
        <w:rPr>
          <w:rFonts w:ascii="Arial" w:hAnsi="Arial" w:cs="Arial"/>
        </w:rPr>
        <w:t>Минтусова</w:t>
      </w:r>
      <w:proofErr w:type="spellEnd"/>
      <w:r>
        <w:rPr>
          <w:rFonts w:ascii="Arial" w:hAnsi="Arial" w:cs="Arial"/>
        </w:rPr>
        <w:t xml:space="preserve"> и О.Г. Филатовой.</w:t>
      </w:r>
    </w:p>
    <w:p w:rsidR="00616060" w:rsidRDefault="00616060" w:rsidP="00616060">
      <w:pPr>
        <w:pStyle w:val="a1"/>
        <w:tabs>
          <w:tab w:val="left" w:pos="567"/>
        </w:tabs>
        <w:suppressAutoHyphens w:val="0"/>
        <w:spacing w:after="0" w:line="276" w:lineRule="auto"/>
        <w:ind w:right="-5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результате проведенного исследования автор выносит на защиту следующие положения.</w:t>
      </w:r>
    </w:p>
    <w:p w:rsidR="00616060" w:rsidRPr="004A741C" w:rsidRDefault="00616060" w:rsidP="004A741C">
      <w:pPr>
        <w:pStyle w:val="a1"/>
        <w:numPr>
          <w:ilvl w:val="0"/>
          <w:numId w:val="5"/>
        </w:numPr>
        <w:tabs>
          <w:tab w:val="left" w:pos="567"/>
          <w:tab w:val="left" w:pos="1418"/>
        </w:tabs>
        <w:suppressAutoHyphens w:val="0"/>
        <w:spacing w:after="0" w:line="276" w:lineRule="auto"/>
        <w:ind w:left="0" w:right="-50" w:firstLine="1069"/>
        <w:jc w:val="both"/>
        <w:rPr>
          <w:rFonts w:ascii="Arial" w:hAnsi="Arial" w:cs="Arial"/>
        </w:rPr>
      </w:pPr>
      <w:r w:rsidRPr="004A741C">
        <w:rPr>
          <w:rFonts w:ascii="Arial" w:hAnsi="Arial" w:cs="Arial"/>
        </w:rPr>
        <w:t>Законодательное регулирование лоббистской деятельности в России является актуальной необходимостью.</w:t>
      </w:r>
    </w:p>
    <w:p w:rsidR="00616060" w:rsidRPr="004A741C" w:rsidRDefault="00616060" w:rsidP="004A741C">
      <w:pPr>
        <w:pStyle w:val="a1"/>
        <w:numPr>
          <w:ilvl w:val="0"/>
          <w:numId w:val="5"/>
        </w:numPr>
        <w:tabs>
          <w:tab w:val="left" w:pos="567"/>
          <w:tab w:val="left" w:pos="1418"/>
        </w:tabs>
        <w:suppressAutoHyphens w:val="0"/>
        <w:spacing w:after="0" w:line="276" w:lineRule="auto"/>
        <w:ind w:left="0" w:right="-50" w:firstLine="1069"/>
        <w:jc w:val="both"/>
        <w:rPr>
          <w:rFonts w:ascii="Arial" w:hAnsi="Arial" w:cs="Arial"/>
        </w:rPr>
      </w:pPr>
      <w:r w:rsidRPr="004A741C">
        <w:rPr>
          <w:rFonts w:ascii="Arial" w:hAnsi="Arial" w:cs="Arial"/>
        </w:rPr>
        <w:t>Находящийся в Государственной Думе законопроект, призванный урегулировать лоббистскую деятельность, является противоречивым и нуждается в существенной доработке.</w:t>
      </w:r>
    </w:p>
    <w:p w:rsidR="00616060" w:rsidRPr="004A741C" w:rsidRDefault="00616060" w:rsidP="004A741C">
      <w:pPr>
        <w:pStyle w:val="a1"/>
        <w:numPr>
          <w:ilvl w:val="0"/>
          <w:numId w:val="5"/>
        </w:numPr>
        <w:tabs>
          <w:tab w:val="left" w:pos="567"/>
          <w:tab w:val="left" w:pos="1418"/>
          <w:tab w:val="left" w:pos="9531"/>
        </w:tabs>
        <w:suppressAutoHyphens w:val="0"/>
        <w:spacing w:after="0" w:line="276" w:lineRule="auto"/>
        <w:ind w:left="0" w:right="-50" w:firstLine="1069"/>
        <w:jc w:val="both"/>
        <w:rPr>
          <w:rFonts w:ascii="Arial" w:hAnsi="Arial" w:cs="Arial"/>
        </w:rPr>
      </w:pPr>
      <w:proofErr w:type="spellStart"/>
      <w:r w:rsidRPr="004A741C">
        <w:rPr>
          <w:rFonts w:ascii="Arial" w:hAnsi="Arial" w:cs="Arial"/>
        </w:rPr>
        <w:t>Слабозащищенные</w:t>
      </w:r>
      <w:proofErr w:type="spellEnd"/>
      <w:r w:rsidRPr="004A741C">
        <w:rPr>
          <w:rFonts w:ascii="Arial" w:hAnsi="Arial" w:cs="Arial"/>
        </w:rPr>
        <w:t xml:space="preserve"> группы граждан и общественных объединений социального значения нуждаются в государственной поддержке лоббизме их интересов.</w:t>
      </w:r>
    </w:p>
    <w:p w:rsidR="004A741C" w:rsidRPr="004A741C" w:rsidRDefault="004A741C" w:rsidP="004A741C">
      <w:pPr>
        <w:pStyle w:val="a1"/>
        <w:numPr>
          <w:ilvl w:val="0"/>
          <w:numId w:val="5"/>
        </w:numPr>
        <w:tabs>
          <w:tab w:val="left" w:pos="567"/>
          <w:tab w:val="left" w:pos="1418"/>
          <w:tab w:val="left" w:pos="9531"/>
        </w:tabs>
        <w:suppressAutoHyphens w:val="0"/>
        <w:spacing w:after="0" w:line="276" w:lineRule="auto"/>
        <w:ind w:left="0" w:right="-50" w:firstLine="1069"/>
        <w:jc w:val="both"/>
        <w:rPr>
          <w:rFonts w:ascii="Arial" w:hAnsi="Arial" w:cs="Arial"/>
        </w:rPr>
      </w:pPr>
      <w:r w:rsidRPr="004A741C">
        <w:rPr>
          <w:rFonts w:ascii="Arial" w:hAnsi="Arial" w:cs="Arial"/>
        </w:rPr>
        <w:t xml:space="preserve">Механизм саморегулирования в Российской Федерации находится на этапе становления, полноценно осуществлять регулирование на данный момент не </w:t>
      </w:r>
      <w:r w:rsidRPr="004A741C">
        <w:rPr>
          <w:rFonts w:ascii="Arial" w:hAnsi="Arial" w:cs="Arial"/>
        </w:rPr>
        <w:lastRenderedPageBreak/>
        <w:t>может.</w:t>
      </w:r>
    </w:p>
    <w:p w:rsidR="00616060" w:rsidRPr="004A741C" w:rsidRDefault="00616060" w:rsidP="004A741C">
      <w:pPr>
        <w:pStyle w:val="a1"/>
        <w:numPr>
          <w:ilvl w:val="0"/>
          <w:numId w:val="5"/>
        </w:numPr>
        <w:tabs>
          <w:tab w:val="left" w:pos="567"/>
          <w:tab w:val="left" w:pos="1418"/>
          <w:tab w:val="left" w:pos="9531"/>
        </w:tabs>
        <w:suppressAutoHyphens w:val="0"/>
        <w:spacing w:after="0" w:line="276" w:lineRule="auto"/>
        <w:ind w:left="0" w:right="-50" w:firstLine="1069"/>
        <w:jc w:val="both"/>
        <w:rPr>
          <w:rFonts w:ascii="Arial" w:hAnsi="Arial" w:cs="Arial"/>
        </w:rPr>
      </w:pPr>
      <w:r w:rsidRPr="004A741C">
        <w:rPr>
          <w:rFonts w:ascii="Arial" w:hAnsi="Arial" w:cs="Arial"/>
        </w:rPr>
        <w:t>Эффективное саморегулирование российского лоббизма нуждается в предварительном его обеспечении механизмами правового регулирования.</w:t>
      </w:r>
    </w:p>
    <w:p w:rsidR="00616060" w:rsidRDefault="00616060" w:rsidP="004A741C">
      <w:pPr>
        <w:suppressAutoHyphens w:val="0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Законодательная регламентация и механизм саморегулирования способны дополнять друг друга, что способствует всестороннему и детальному разрешению специфических для рассматриваемой деятельности вопросов, а также </w:t>
      </w:r>
      <w:proofErr w:type="gramStart"/>
      <w:r>
        <w:rPr>
          <w:rFonts w:ascii="Arial" w:hAnsi="Arial" w:cs="Arial"/>
        </w:rPr>
        <w:t>контролю за</w:t>
      </w:r>
      <w:proofErr w:type="gramEnd"/>
      <w:r>
        <w:rPr>
          <w:rFonts w:ascii="Arial" w:hAnsi="Arial" w:cs="Arial"/>
        </w:rPr>
        <w:t xml:space="preserve"> выполнением стандартов и правил осуществления деятельности.</w:t>
      </w:r>
    </w:p>
    <w:p w:rsidR="00283CDE" w:rsidRPr="00283CDE" w:rsidRDefault="00283CDE" w:rsidP="004A741C">
      <w:pPr>
        <w:suppressAutoHyphens w:val="0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Структура диссертации</w:t>
      </w:r>
      <w:r w:rsidRPr="00283C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включает в себя Введение, 3 главы</w:t>
      </w:r>
      <w:r w:rsidR="001460EE">
        <w:rPr>
          <w:rFonts w:ascii="Arial" w:hAnsi="Arial" w:cs="Arial"/>
        </w:rPr>
        <w:t>, в которых</w:t>
      </w:r>
      <w:r>
        <w:rPr>
          <w:rFonts w:ascii="Arial" w:hAnsi="Arial" w:cs="Arial"/>
        </w:rPr>
        <w:t xml:space="preserve"> </w:t>
      </w:r>
      <w:r w:rsidR="001460EE">
        <w:rPr>
          <w:rFonts w:ascii="Arial" w:hAnsi="Arial" w:cs="Arial"/>
        </w:rPr>
        <w:t xml:space="preserve">последовательно рассматривается общие вопросы регулирования лоббизма, </w:t>
      </w:r>
      <w:r>
        <w:rPr>
          <w:rFonts w:ascii="Arial" w:hAnsi="Arial" w:cs="Arial"/>
        </w:rPr>
        <w:t xml:space="preserve"> государственное регулирование </w:t>
      </w:r>
      <w:r w:rsidR="001460EE">
        <w:rPr>
          <w:rFonts w:ascii="Arial" w:hAnsi="Arial" w:cs="Arial"/>
        </w:rPr>
        <w:t xml:space="preserve">лоббизма </w:t>
      </w:r>
      <w:r>
        <w:rPr>
          <w:rFonts w:ascii="Arial" w:hAnsi="Arial" w:cs="Arial"/>
        </w:rPr>
        <w:t xml:space="preserve">в </w:t>
      </w:r>
      <w:r w:rsidR="001460EE"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оссии </w:t>
      </w:r>
      <w:r w:rsidR="001460EE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саморегулирование</w:t>
      </w:r>
      <w:r w:rsidR="001460EE">
        <w:rPr>
          <w:rFonts w:ascii="Arial" w:hAnsi="Arial" w:cs="Arial"/>
        </w:rPr>
        <w:t>, а также</w:t>
      </w:r>
      <w:r>
        <w:rPr>
          <w:rFonts w:ascii="Arial" w:hAnsi="Arial" w:cs="Arial"/>
        </w:rPr>
        <w:t xml:space="preserve"> Заключение</w:t>
      </w:r>
      <w:r w:rsidR="001460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460EE">
        <w:rPr>
          <w:rFonts w:ascii="Arial" w:hAnsi="Arial" w:cs="Arial"/>
        </w:rPr>
        <w:t>С</w:t>
      </w:r>
      <w:r>
        <w:rPr>
          <w:rFonts w:ascii="Arial" w:hAnsi="Arial" w:cs="Arial"/>
        </w:rPr>
        <w:t>писок использованных источников</w:t>
      </w:r>
      <w:r w:rsidR="001460EE"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 xml:space="preserve"> Приложени</w:t>
      </w:r>
      <w:r w:rsidR="001460EE">
        <w:rPr>
          <w:rFonts w:ascii="Arial" w:hAnsi="Arial" w:cs="Arial"/>
        </w:rPr>
        <w:t>я</w:t>
      </w:r>
      <w:r>
        <w:rPr>
          <w:rFonts w:ascii="Arial" w:hAnsi="Arial" w:cs="Arial"/>
        </w:rPr>
        <w:t>.</w:t>
      </w:r>
    </w:p>
    <w:p w:rsidR="0096462E" w:rsidRDefault="0096462E" w:rsidP="004A741C">
      <w:pPr>
        <w:suppressAutoHyphens w:val="0"/>
        <w:spacing w:line="276" w:lineRule="auto"/>
        <w:ind w:firstLine="709"/>
        <w:jc w:val="both"/>
        <w:rPr>
          <w:rFonts w:ascii="Arial" w:hAnsi="Arial" w:cs="Arial"/>
        </w:rPr>
      </w:pPr>
    </w:p>
    <w:sectPr w:rsidR="0096462E">
      <w:pgSz w:w="12240" w:h="15840"/>
      <w:pgMar w:top="1440" w:right="758" w:bottom="1440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2A3" w:rsidRDefault="00B732A3">
      <w:r>
        <w:separator/>
      </w:r>
    </w:p>
  </w:endnote>
  <w:endnote w:type="continuationSeparator" w:id="0">
    <w:p w:rsidR="00B732A3" w:rsidRDefault="00B73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altName w:val="Arial Unicode MS"/>
    <w:charset w:val="86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2A3" w:rsidRDefault="00B732A3">
      <w:r>
        <w:separator/>
      </w:r>
    </w:p>
  </w:footnote>
  <w:footnote w:type="continuationSeparator" w:id="0">
    <w:p w:rsidR="00B732A3" w:rsidRDefault="00B732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8DF5475"/>
    <w:multiLevelType w:val="hybridMultilevel"/>
    <w:tmpl w:val="8C68F2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2F0D8A"/>
    <w:multiLevelType w:val="hybridMultilevel"/>
    <w:tmpl w:val="1638CB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C0C"/>
    <w:rsid w:val="001460EE"/>
    <w:rsid w:val="001D321F"/>
    <w:rsid w:val="00271BBE"/>
    <w:rsid w:val="00283CDE"/>
    <w:rsid w:val="003264B0"/>
    <w:rsid w:val="003A5C0C"/>
    <w:rsid w:val="00490047"/>
    <w:rsid w:val="004A741C"/>
    <w:rsid w:val="00560AB1"/>
    <w:rsid w:val="00616060"/>
    <w:rsid w:val="00636C19"/>
    <w:rsid w:val="008E4583"/>
    <w:rsid w:val="00945FFE"/>
    <w:rsid w:val="0096462E"/>
    <w:rsid w:val="009E001D"/>
    <w:rsid w:val="00B0511D"/>
    <w:rsid w:val="00B732A3"/>
    <w:rsid w:val="00D445E3"/>
    <w:rsid w:val="00E10A22"/>
    <w:rsid w:val="00F9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1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sz w:val="22"/>
      <w:szCs w:val="22"/>
      <w:lang w:eastAsia="ar-SA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Symbol"/>
      <w:sz w:val="28"/>
      <w:szCs w:val="28"/>
      <w:shd w:val="clear" w:color="auto" w:fill="FFFF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4z0">
    <w:name w:val="WW8Num4z0"/>
    <w:rPr>
      <w:rFonts w:ascii="Symbol" w:eastAsia="Times New Roman" w:hAnsi="Symbol" w:cs="Symbol"/>
      <w:sz w:val="28"/>
      <w:szCs w:val="2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sz w:val="28"/>
      <w:szCs w:val="2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  <w:sz w:val="28"/>
      <w:szCs w:val="28"/>
    </w:rPr>
  </w:style>
  <w:style w:type="character" w:customStyle="1" w:styleId="WW8Num7z0">
    <w:name w:val="WW8Num7z0"/>
    <w:rPr>
      <w:rFonts w:ascii="Wingdings" w:hAnsi="Wingdings" w:cs="Wingdings"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  <w:sz w:val="28"/>
      <w:szCs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9z0">
    <w:name w:val="WW8Num9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0z0">
    <w:name w:val="WW8Num10z0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  <w:bCs/>
    </w:rPr>
  </w:style>
  <w:style w:type="character" w:customStyle="1" w:styleId="WW8Num12z0">
    <w:name w:val="WW8Num12z0"/>
    <w:rPr>
      <w:rFonts w:cs="Times New Roman"/>
      <w:b/>
      <w:bCs/>
      <w:sz w:val="28"/>
      <w:szCs w:val="2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14z0">
    <w:name w:val="WW8Num14z0"/>
    <w:rPr>
      <w:rFonts w:ascii="Wingdings" w:eastAsia="Times New Roman" w:hAnsi="Wingdings" w:cs="Wingdings"/>
      <w:b/>
      <w:bCs/>
      <w:sz w:val="28"/>
      <w:szCs w:val="28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WW8Num16z0">
    <w:name w:val="WW8Num16z0"/>
    <w:rPr>
      <w:rFonts w:eastAsia="Times New Roman" w:cs="Times New Roman"/>
      <w:color w:val="000000"/>
      <w:sz w:val="28"/>
      <w:szCs w:val="28"/>
      <w:lang w:eastAsia="ar-SA" w:bidi="ar-SA"/>
    </w:rPr>
  </w:style>
  <w:style w:type="character" w:customStyle="1" w:styleId="WW8Num16z1">
    <w:name w:val="WW8Num16z1"/>
    <w:rPr>
      <w:b/>
      <w:bCs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  <w:b/>
      <w:bCs/>
      <w:color w:val="000000"/>
      <w:kern w:val="1"/>
      <w:sz w:val="28"/>
      <w:szCs w:val="28"/>
      <w:shd w:val="clear" w:color="auto" w:fill="auto"/>
      <w:lang w:val="ru-RU" w:eastAsia="ar-SA" w:bidi="ar-SA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eastAsia="Times New Roman" w:hAnsi="Wingdings" w:cs="Wingdings" w:hint="default"/>
      <w:b/>
      <w:bCs/>
      <w:sz w:val="28"/>
      <w:szCs w:val="28"/>
      <w:lang w:val="ru-RU" w:eastAsia="ar-SA" w:bidi="ar-SA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  <w:sz w:val="20"/>
    </w:rPr>
  </w:style>
  <w:style w:type="character" w:customStyle="1" w:styleId="WW8Num19z0">
    <w:name w:val="WW8Num19z0"/>
    <w:rPr>
      <w:rFonts w:ascii="Symbol" w:eastAsia="Times New Roman" w:hAnsi="Symbol" w:cs="Symbol" w:hint="default"/>
      <w:color w:val="000000"/>
      <w:sz w:val="20"/>
      <w:szCs w:val="28"/>
    </w:rPr>
  </w:style>
  <w:style w:type="character" w:customStyle="1" w:styleId="WW8Num19z1">
    <w:name w:val="WW8Num19z1"/>
    <w:rPr>
      <w:rFonts w:ascii="Courier New" w:hAnsi="Courier New" w:cs="Courier New" w:hint="default"/>
      <w:sz w:val="20"/>
    </w:rPr>
  </w:style>
  <w:style w:type="character" w:customStyle="1" w:styleId="WW8Num19z2">
    <w:name w:val="WW8Num19z2"/>
    <w:rPr>
      <w:rFonts w:ascii="Wingdings" w:hAnsi="Wingdings" w:cs="Wingdings" w:hint="default"/>
      <w:sz w:val="20"/>
    </w:rPr>
  </w:style>
  <w:style w:type="character" w:customStyle="1" w:styleId="WW8Num20z0">
    <w:name w:val="WW8Num20z0"/>
    <w:rPr>
      <w:rFonts w:ascii="Symbol" w:eastAsia="Times New Roman" w:hAnsi="Symbol" w:cs="Symbol" w:hint="default"/>
      <w:color w:val="000000"/>
      <w:sz w:val="20"/>
      <w:szCs w:val="28"/>
      <w:lang w:eastAsia="ar-SA" w:bidi="ar-SA"/>
    </w:rPr>
  </w:style>
  <w:style w:type="character" w:customStyle="1" w:styleId="WW8Num21z0">
    <w:name w:val="WW8Num21z0"/>
    <w:rPr>
      <w:rFonts w:ascii="Times New Roman" w:eastAsia="Times New Roman" w:hAnsi="Times New Roman" w:cs="Times New Roman" w:hint="default"/>
      <w:sz w:val="28"/>
      <w:szCs w:val="28"/>
      <w:lang w:eastAsia="ar-SA" w:bidi="ar-SA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2z0">
    <w:name w:val="WW8Num22z0"/>
    <w:rPr>
      <w:rFonts w:hint="default"/>
      <w:color w:val="333333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3z0">
    <w:name w:val="WW8Num23z0"/>
    <w:rPr>
      <w:color w:val="333333"/>
      <w:sz w:val="28"/>
      <w:szCs w:val="2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4z0">
    <w:name w:val="WW8Num24z0"/>
    <w:rPr>
      <w:rFonts w:ascii="Symbol" w:hAnsi="Symbol" w:cs="Symbol" w:hint="default"/>
      <w:color w:val="333333"/>
      <w:sz w:val="28"/>
      <w:szCs w:val="28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eastAsia="Times New Roman" w:cs="Times New Roman"/>
      <w:kern w:val="1"/>
      <w:lang w:eastAsia="ar-SA" w:bidi="ar-SA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eastAsia="Times New Roman" w:hAnsi="Wingdings" w:cs="Wingdings" w:hint="default"/>
      <w:b w:val="0"/>
      <w:bCs w:val="0"/>
      <w:color w:val="auto"/>
      <w:kern w:val="1"/>
      <w:sz w:val="28"/>
      <w:szCs w:val="28"/>
      <w:shd w:val="clear" w:color="auto" w:fill="auto"/>
      <w:lang w:val="ru-RU" w:eastAsia="ar-SA" w:bidi="ar-SA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  <w:sz w:val="20"/>
    </w:rPr>
  </w:style>
  <w:style w:type="character" w:customStyle="1" w:styleId="WW8Num27z1">
    <w:name w:val="WW8Num27z1"/>
    <w:rPr>
      <w:rFonts w:ascii="Courier New" w:hAnsi="Courier New" w:cs="Courier New" w:hint="default"/>
      <w:sz w:val="20"/>
    </w:rPr>
  </w:style>
  <w:style w:type="character" w:customStyle="1" w:styleId="WW8Num27z2">
    <w:name w:val="WW8Num27z2"/>
    <w:rPr>
      <w:rFonts w:ascii="Wingdings" w:eastAsia="Times New Roman" w:hAnsi="Wingdings" w:cs="Wingdings" w:hint="default"/>
      <w:b w:val="0"/>
      <w:bCs w:val="0"/>
      <w:color w:val="auto"/>
      <w:kern w:val="1"/>
      <w:sz w:val="20"/>
      <w:szCs w:val="28"/>
      <w:shd w:val="clear" w:color="auto" w:fill="auto"/>
      <w:lang w:val="ru-RU" w:eastAsia="ar-SA" w:bidi="ar-SA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b/>
      <w:bCs/>
    </w:rPr>
  </w:style>
  <w:style w:type="character" w:customStyle="1" w:styleId="WW8Num9z2">
    <w:name w:val="WW8Num9z2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8z0">
    <w:name w:val="WW8Num28z0"/>
    <w:rPr>
      <w:rFonts w:ascii="Symbol" w:hAnsi="Symbol" w:cs="Symbol" w:hint="default"/>
      <w:sz w:val="20"/>
    </w:rPr>
  </w:style>
  <w:style w:type="character" w:customStyle="1" w:styleId="WW8Num28z1">
    <w:name w:val="WW8Num28z1"/>
    <w:rPr>
      <w:rFonts w:ascii="Courier New" w:hAnsi="Courier New" w:cs="Courier New" w:hint="default"/>
      <w:sz w:val="20"/>
    </w:rPr>
  </w:style>
  <w:style w:type="character" w:customStyle="1" w:styleId="WW8Num28z2">
    <w:name w:val="WW8Num28z2"/>
    <w:rPr>
      <w:rFonts w:ascii="Wingdings" w:hAnsi="Wingdings" w:cs="Wingdings" w:hint="default"/>
      <w:sz w:val="20"/>
    </w:rPr>
  </w:style>
  <w:style w:type="character" w:customStyle="1" w:styleId="WW8Num29z0">
    <w:name w:val="WW8Num29z0"/>
    <w:rPr>
      <w:rFonts w:ascii="Symbol" w:hAnsi="Symbol" w:cs="Symbol" w:hint="default"/>
      <w:sz w:val="28"/>
      <w:szCs w:val="28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20">
    <w:name w:val="Основной шрифт абзаца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10">
    <w:name w:val="Основной шрифт абзаца1"/>
  </w:style>
  <w:style w:type="character" w:customStyle="1" w:styleId="a5">
    <w:name w:val="Символ нумерации"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Символ сноски"/>
  </w:style>
  <w:style w:type="character" w:customStyle="1" w:styleId="11">
    <w:name w:val="Знак сноски1"/>
    <w:rPr>
      <w:vertAlign w:val="superscript"/>
    </w:rPr>
  </w:style>
  <w:style w:type="character" w:styleId="a8">
    <w:name w:val="Hyperlink"/>
    <w:rPr>
      <w:color w:val="000080"/>
      <w:u w:val="single"/>
      <w:lang/>
    </w:rPr>
  </w:style>
  <w:style w:type="character" w:customStyle="1" w:styleId="DefaultParagraphFont">
    <w:name w:val="Default Paragraph Font"/>
  </w:style>
  <w:style w:type="character" w:customStyle="1" w:styleId="footnotereference">
    <w:name w:val="footnote reference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styleId="a9">
    <w:name w:val="Strong"/>
    <w:qFormat/>
    <w:rPr>
      <w:b/>
      <w:bCs/>
    </w:rPr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b">
    <w:name w:val="Текст выноски Знак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c">
    <w:name w:val="Текст примечания Знак"/>
    <w:rPr>
      <w:rFonts w:eastAsia="SimSun" w:cs="Mangal"/>
      <w:kern w:val="1"/>
      <w:szCs w:val="18"/>
      <w:lang w:eastAsia="hi-IN" w:bidi="hi-IN"/>
    </w:rPr>
  </w:style>
  <w:style w:type="character" w:customStyle="1" w:styleId="ad">
    <w:name w:val="Тема примечания Знак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ae">
    <w:name w:val="Верхний колонтитул Знак"/>
    <w:basedOn w:val="10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af">
    <w:name w:val="Нижний колонтитул Знак"/>
    <w:basedOn w:val="10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af0">
    <w:name w:val="Без интервала Знак"/>
    <w:basedOn w:val="10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21">
    <w:name w:val="Знак сноски2"/>
    <w:rPr>
      <w:vertAlign w:val="superscript"/>
    </w:rPr>
  </w:style>
  <w:style w:type="character" w:customStyle="1" w:styleId="13">
    <w:name w:val="Знак концевой сноски1"/>
    <w:rPr>
      <w:vertAlign w:val="superscript"/>
    </w:rPr>
  </w:style>
  <w:style w:type="character" w:styleId="af1">
    <w:name w:val="page number"/>
    <w:basedOn w:val="20"/>
  </w:style>
  <w:style w:type="character" w:customStyle="1" w:styleId="action-arrowsmf-icon">
    <w:name w:val="action-arrow smf-icon"/>
    <w:basedOn w:val="20"/>
  </w:style>
  <w:style w:type="character" w:customStyle="1" w:styleId="ta-response-item-date">
    <w:name w:val="ta-response-item-date"/>
    <w:basedOn w:val="20"/>
  </w:style>
  <w:style w:type="character" w:styleId="af2">
    <w:name w:val="footnote reference"/>
    <w:rPr>
      <w:vertAlign w:val="superscript"/>
    </w:rPr>
  </w:style>
  <w:style w:type="character" w:styleId="af3">
    <w:name w:val="endnote reference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f4">
    <w:name w:val="List"/>
    <w:basedOn w:val="a1"/>
  </w:style>
  <w:style w:type="paragraph" w:customStyle="1" w:styleId="3">
    <w:name w:val="Название3"/>
    <w:basedOn w:val="a"/>
    <w:pPr>
      <w:suppressLineNumbers/>
      <w:spacing w:before="120" w:after="120"/>
    </w:pPr>
    <w:rPr>
      <w:i/>
      <w:iCs/>
    </w:rPr>
  </w:style>
  <w:style w:type="paragraph" w:customStyle="1" w:styleId="30">
    <w:name w:val="Указатель3"/>
    <w:basedOn w:val="a"/>
    <w:pPr>
      <w:suppressLineNumbers/>
    </w:pPr>
  </w:style>
  <w:style w:type="paragraph" w:customStyle="1" w:styleId="2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pPr>
      <w:suppressLineNumbers/>
    </w:pPr>
  </w:style>
  <w:style w:type="paragraph" w:styleId="af5">
    <w:name w:val="Title"/>
    <w:basedOn w:val="a0"/>
    <w:next w:val="af6"/>
    <w:qFormat/>
  </w:style>
  <w:style w:type="paragraph" w:styleId="af6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pPr>
      <w:suppressLineNumbers/>
    </w:pPr>
  </w:style>
  <w:style w:type="paragraph" w:styleId="af7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footnotetext">
    <w:name w:val="footnote text"/>
    <w:basedOn w:val="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ListParagraph">
    <w:name w:val="List Paragraph"/>
    <w:basedOn w:val="a"/>
    <w:pPr>
      <w:ind w:left="720"/>
    </w:pPr>
  </w:style>
  <w:style w:type="paragraph" w:styleId="af8">
    <w:name w:val="Normal (Web)"/>
    <w:basedOn w:val="a"/>
    <w:pPr>
      <w:spacing w:before="280" w:after="280"/>
    </w:pPr>
  </w:style>
  <w:style w:type="paragraph" w:styleId="af9">
    <w:name w:val="Balloon Text"/>
    <w:basedOn w:val="a"/>
    <w:rPr>
      <w:rFonts w:ascii="Tahoma" w:hAnsi="Tahoma" w:cs="Tahoma"/>
      <w:sz w:val="16"/>
      <w:szCs w:val="14"/>
      <w:lang/>
    </w:rPr>
  </w:style>
  <w:style w:type="paragraph" w:customStyle="1" w:styleId="16">
    <w:name w:val="Текст примечания1"/>
    <w:basedOn w:val="a"/>
    <w:rPr>
      <w:sz w:val="20"/>
      <w:szCs w:val="18"/>
      <w:lang/>
    </w:rPr>
  </w:style>
  <w:style w:type="paragraph" w:styleId="afa">
    <w:name w:val="annotation subject"/>
    <w:basedOn w:val="16"/>
    <w:next w:val="16"/>
    <w:rPr>
      <w:b/>
      <w:bCs/>
    </w:rPr>
  </w:style>
  <w:style w:type="paragraph" w:customStyle="1" w:styleId="sdfootnote">
    <w:name w:val="sdfootnote"/>
    <w:basedOn w:val="a"/>
    <w:pPr>
      <w:widowControl/>
      <w:suppressAutoHyphens w:val="0"/>
      <w:spacing w:before="100"/>
      <w:ind w:left="284" w:hanging="284"/>
    </w:pPr>
    <w:rPr>
      <w:rFonts w:eastAsia="Times New Roman" w:cs="Times New Roman"/>
      <w:sz w:val="20"/>
      <w:szCs w:val="20"/>
      <w:lang w:eastAsia="ar-SA" w:bidi="ar-SA"/>
    </w:rPr>
  </w:style>
  <w:style w:type="paragraph" w:styleId="afb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fc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fd">
    <w:name w:val="Revision"/>
    <w:pPr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styleId="afe">
    <w:name w:val="List Paragraph"/>
    <w:basedOn w:val="a"/>
    <w:qFormat/>
    <w:pPr>
      <w:widowControl/>
      <w:suppressAutoHyphens w:val="0"/>
      <w:spacing w:after="160" w:line="252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aff">
    <w:name w:val="TOC Heading"/>
    <w:basedOn w:val="1"/>
    <w:next w:val="a"/>
    <w:qFormat/>
    <w:pPr>
      <w:keepLines/>
      <w:widowControl/>
      <w:numPr>
        <w:numId w:val="0"/>
      </w:numPr>
      <w:suppressAutoHyphens w:val="0"/>
      <w:spacing w:before="480" w:after="0" w:line="276" w:lineRule="auto"/>
    </w:pPr>
    <w:rPr>
      <w:rFonts w:ascii="Cambria" w:eastAsia="Times New Roman" w:hAnsi="Cambria" w:cs="Times New Roman"/>
      <w:color w:val="365F91"/>
      <w:sz w:val="28"/>
      <w:szCs w:val="28"/>
      <w:lang w:eastAsia="ar-SA" w:bidi="ar-SA"/>
    </w:rPr>
  </w:style>
  <w:style w:type="paragraph" w:styleId="17">
    <w:name w:val="toc 1"/>
    <w:basedOn w:val="a"/>
    <w:next w:val="a"/>
    <w:pPr>
      <w:tabs>
        <w:tab w:val="right" w:leader="dot" w:pos="9437"/>
      </w:tabs>
      <w:spacing w:line="360" w:lineRule="auto"/>
    </w:pPr>
    <w:rPr>
      <w:szCs w:val="21"/>
    </w:rPr>
  </w:style>
  <w:style w:type="paragraph" w:styleId="24">
    <w:name w:val="toc 2"/>
    <w:basedOn w:val="a"/>
    <w:next w:val="a"/>
    <w:pPr>
      <w:tabs>
        <w:tab w:val="right" w:leader="dot" w:pos="9437"/>
      </w:tabs>
      <w:spacing w:line="360" w:lineRule="auto"/>
      <w:ind w:left="240"/>
    </w:pPr>
    <w:rPr>
      <w:szCs w:val="21"/>
    </w:rPr>
  </w:style>
  <w:style w:type="paragraph" w:styleId="aff0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31">
    <w:name w:val="toc 3"/>
    <w:basedOn w:val="23"/>
    <w:pPr>
      <w:tabs>
        <w:tab w:val="right" w:leader="dot" w:pos="9072"/>
      </w:tabs>
      <w:ind w:left="566"/>
    </w:pPr>
  </w:style>
  <w:style w:type="paragraph" w:styleId="4">
    <w:name w:val="toc 4"/>
    <w:basedOn w:val="23"/>
    <w:pPr>
      <w:tabs>
        <w:tab w:val="right" w:leader="dot" w:pos="8789"/>
      </w:tabs>
      <w:ind w:left="849"/>
    </w:pPr>
  </w:style>
  <w:style w:type="paragraph" w:styleId="5">
    <w:name w:val="toc 5"/>
    <w:basedOn w:val="23"/>
    <w:pPr>
      <w:tabs>
        <w:tab w:val="right" w:leader="dot" w:pos="8506"/>
      </w:tabs>
      <w:ind w:left="1132"/>
    </w:pPr>
  </w:style>
  <w:style w:type="paragraph" w:styleId="60">
    <w:name w:val="toc 6"/>
    <w:basedOn w:val="23"/>
    <w:pPr>
      <w:tabs>
        <w:tab w:val="right" w:leader="dot" w:pos="8223"/>
      </w:tabs>
      <w:ind w:left="1415"/>
    </w:pPr>
  </w:style>
  <w:style w:type="paragraph" w:styleId="7">
    <w:name w:val="toc 7"/>
    <w:basedOn w:val="23"/>
    <w:pPr>
      <w:tabs>
        <w:tab w:val="right" w:leader="dot" w:pos="7940"/>
      </w:tabs>
      <w:ind w:left="1698"/>
    </w:pPr>
  </w:style>
  <w:style w:type="paragraph" w:styleId="8">
    <w:name w:val="toc 8"/>
    <w:basedOn w:val="23"/>
    <w:pPr>
      <w:tabs>
        <w:tab w:val="right" w:leader="dot" w:pos="7657"/>
      </w:tabs>
      <w:ind w:left="1981"/>
    </w:pPr>
  </w:style>
  <w:style w:type="paragraph" w:styleId="9">
    <w:name w:val="toc 9"/>
    <w:basedOn w:val="23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23"/>
    <w:pPr>
      <w:tabs>
        <w:tab w:val="right" w:leader="dot" w:pos="7091"/>
      </w:tabs>
      <w:ind w:left="2547"/>
    </w:pPr>
  </w:style>
  <w:style w:type="paragraph" w:customStyle="1" w:styleId="ta-response-item-content">
    <w:name w:val="ta-response-item-content"/>
    <w:basedOn w:val="a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aff1">
    <w:name w:val="Содержимое таблицы"/>
    <w:basedOn w:val="a"/>
    <w:pPr>
      <w:suppressLineNumbers/>
    </w:pPr>
  </w:style>
  <w:style w:type="paragraph" w:customStyle="1" w:styleId="aff2">
    <w:name w:val="Заголовок таблицы"/>
    <w:basedOn w:val="aff1"/>
    <w:pPr>
      <w:jc w:val="center"/>
    </w:pPr>
    <w:rPr>
      <w:b/>
      <w:bCs/>
    </w:rPr>
  </w:style>
  <w:style w:type="paragraph" w:customStyle="1" w:styleId="aff3">
    <w:name w:val="Содержимое врезки"/>
    <w:basedOn w:val="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ГОСУДАРСТВЕННЫЙ УНИВЕРСИТЕТ</vt:lpstr>
    </vt:vector>
  </TitlesOfParts>
  <Company>Факультет Журнилистики СПбГУ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УНИВЕРСИТЕТ</dc:title>
  <dc:subject/>
  <dc:creator>Летуновская</dc:creator>
  <cp:keywords/>
  <cp:lastModifiedBy>prpol</cp:lastModifiedBy>
  <cp:revision>5</cp:revision>
  <cp:lastPrinted>1601-01-01T00:00:00Z</cp:lastPrinted>
  <dcterms:created xsi:type="dcterms:W3CDTF">2014-05-07T11:52:00Z</dcterms:created>
  <dcterms:modified xsi:type="dcterms:W3CDTF">2014-05-07T12:23:00Z</dcterms:modified>
</cp:coreProperties>
</file>