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40" w:rsidRDefault="00681C40" w:rsidP="00457312">
      <w:pPr>
        <w:tabs>
          <w:tab w:val="left" w:pos="142"/>
        </w:tabs>
        <w:autoSpaceDE w:val="0"/>
        <w:spacing w:after="0" w:line="240" w:lineRule="auto"/>
        <w:ind w:firstLine="425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681C40" w:rsidRDefault="00681C40" w:rsidP="00457312">
      <w:pPr>
        <w:tabs>
          <w:tab w:val="left" w:pos="142"/>
        </w:tabs>
        <w:autoSpaceDE w:val="0"/>
        <w:spacing w:after="0" w:line="240" w:lineRule="auto"/>
        <w:ind w:firstLine="425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Фроловой Анастасии Сергеевны</w:t>
      </w:r>
    </w:p>
    <w:p w:rsidR="00681C40" w:rsidRDefault="00681C40" w:rsidP="00457312">
      <w:pPr>
        <w:tabs>
          <w:tab w:val="left" w:pos="142"/>
        </w:tabs>
        <w:autoSpaceDE w:val="0"/>
        <w:spacing w:after="0" w:line="240" w:lineRule="auto"/>
        <w:ind w:firstLine="425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«РЕЧЕВЫЕ ОСОБЕННОСТИ ПОЛИТИЧЕСКОГО ЛОЗУНГА»</w:t>
      </w:r>
    </w:p>
    <w:p w:rsidR="00681C40" w:rsidRDefault="00681C40" w:rsidP="00457312">
      <w:pPr>
        <w:spacing w:after="0" w:line="240" w:lineRule="auto"/>
        <w:ind w:firstLine="425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Н. рук. — Корнилова Наталья Анатольевна, старший преподаватель</w:t>
      </w:r>
    </w:p>
    <w:p w:rsidR="00681C40" w:rsidRDefault="00681C40" w:rsidP="00457312">
      <w:pPr>
        <w:spacing w:after="0" w:line="240" w:lineRule="auto"/>
        <w:ind w:firstLine="425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Кафедра речевой коммуникации</w:t>
      </w:r>
    </w:p>
    <w:p w:rsidR="00681C40" w:rsidRDefault="00681C40" w:rsidP="00457312">
      <w:pPr>
        <w:spacing w:after="0" w:line="240" w:lineRule="auto"/>
        <w:ind w:firstLine="425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Очно-заочная форма обучения</w:t>
      </w:r>
    </w:p>
    <w:p w:rsidR="00681C40" w:rsidRDefault="00681C40" w:rsidP="00457312">
      <w:pPr>
        <w:tabs>
          <w:tab w:val="left" w:pos="142"/>
        </w:tabs>
        <w:autoSpaceDE w:val="0"/>
        <w:spacing w:after="0" w:line="24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</w:p>
    <w:p w:rsidR="00681C40" w:rsidRDefault="00681C40" w:rsidP="00457312">
      <w:pPr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Данная выпускная квалификационная работа посвящена исследованию речевого жанра политического лозунга. </w:t>
      </w:r>
    </w:p>
    <w:p w:rsidR="00681C40" w:rsidRDefault="00681C40" w:rsidP="00457312">
      <w:pPr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Актуальность исследования</w:t>
      </w:r>
      <w:r>
        <w:rPr>
          <w:rFonts w:ascii="Arial" w:hAnsi="Arial" w:cs="Arial"/>
          <w:sz w:val="24"/>
          <w:szCs w:val="24"/>
        </w:rPr>
        <w:t xml:space="preserve"> обусловлена недостаточной теоретической и практической изученностью речевого жанра политического лозунга, специфики его употребления во время эскалации протестных настроений в России в последние несколько лет. </w:t>
      </w:r>
    </w:p>
    <w:p w:rsidR="00681C40" w:rsidRDefault="00681C40" w:rsidP="00457312">
      <w:pPr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Эмпирическую базу</w:t>
      </w:r>
      <w:r>
        <w:rPr>
          <w:rFonts w:ascii="Arial" w:hAnsi="Arial" w:cs="Arial"/>
          <w:sz w:val="24"/>
          <w:szCs w:val="24"/>
        </w:rPr>
        <w:t xml:space="preserve"> исследования составили 78 политических лозунгов периода 2011-2013 гг. Их функционирование в политической деятельности различных объектов и субъектов властных отношений подтверждено ссылками на фактический материал (статьи в СМИ, видеозаписи, фотографии). </w:t>
      </w:r>
      <w:r w:rsidR="00BE1247">
        <w:rPr>
          <w:rFonts w:ascii="Arial" w:hAnsi="Arial" w:cs="Arial"/>
          <w:sz w:val="24"/>
          <w:szCs w:val="24"/>
        </w:rPr>
        <w:t xml:space="preserve">Специфика эмипирической базы состоит в ее разнообразии: единственным критерием выборки лозунгов было соответствие выбранному временному промежутку. </w:t>
      </w:r>
    </w:p>
    <w:p w:rsidR="00681C40" w:rsidRDefault="00681C40" w:rsidP="00457312">
      <w:pPr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Объектом</w:t>
      </w:r>
      <w:r>
        <w:rPr>
          <w:rFonts w:ascii="Arial" w:hAnsi="Arial" w:cs="Arial"/>
          <w:sz w:val="24"/>
          <w:szCs w:val="24"/>
        </w:rPr>
        <w:t xml:space="preserve"> исследования стал речевой жанр политического лозунга. </w:t>
      </w:r>
      <w:r>
        <w:rPr>
          <w:rFonts w:ascii="Arial" w:hAnsi="Arial" w:cs="Arial"/>
          <w:b/>
          <w:sz w:val="24"/>
          <w:szCs w:val="24"/>
        </w:rPr>
        <w:t>Предметом</w:t>
      </w:r>
      <w:r>
        <w:rPr>
          <w:rFonts w:ascii="Arial" w:hAnsi="Arial" w:cs="Arial"/>
          <w:sz w:val="24"/>
          <w:szCs w:val="24"/>
        </w:rPr>
        <w:t xml:space="preserve"> — экстралингвистические и </w:t>
      </w:r>
      <w:r w:rsidR="00CD704C">
        <w:rPr>
          <w:rFonts w:ascii="Arial" w:hAnsi="Arial" w:cs="Arial"/>
          <w:sz w:val="24"/>
          <w:szCs w:val="24"/>
        </w:rPr>
        <w:t xml:space="preserve">собственно </w:t>
      </w:r>
      <w:r>
        <w:rPr>
          <w:rFonts w:ascii="Arial" w:hAnsi="Arial" w:cs="Arial"/>
          <w:sz w:val="24"/>
          <w:szCs w:val="24"/>
        </w:rPr>
        <w:t xml:space="preserve">лингвистические особенности его существования в рамках современного политического дискурса. </w:t>
      </w:r>
    </w:p>
    <w:p w:rsidR="00681C40" w:rsidRDefault="00681C40" w:rsidP="00457312">
      <w:pPr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Цель</w:t>
      </w:r>
      <w:r>
        <w:rPr>
          <w:rFonts w:ascii="Arial" w:hAnsi="Arial" w:cs="Arial"/>
          <w:sz w:val="24"/>
          <w:szCs w:val="24"/>
        </w:rPr>
        <w:t xml:space="preserve"> исследования — создать всестороннее описание речевого жанра политического лозунга 2011-2013 гг., включающее классификацию лозунга с точки зрения экстралингвистических факторов и анализ языковых средств, применяемых для реализации доминирующей коммуникативной интенции лозунга. </w:t>
      </w:r>
    </w:p>
    <w:p w:rsidR="00CD704C" w:rsidRDefault="00681C40" w:rsidP="00457312">
      <w:pPr>
        <w:pStyle w:val="ListParagraph1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носит научно-исследовательский характер. Состоит из введения, двух глав, заключения, списка литературы и приложений. </w:t>
      </w:r>
      <w:r>
        <w:rPr>
          <w:rFonts w:ascii="Arial" w:hAnsi="Arial" w:cs="Arial"/>
          <w:b/>
          <w:sz w:val="24"/>
          <w:szCs w:val="24"/>
        </w:rPr>
        <w:t>Во введении</w:t>
      </w:r>
      <w:r>
        <w:rPr>
          <w:rFonts w:ascii="Arial" w:hAnsi="Arial" w:cs="Arial"/>
          <w:sz w:val="24"/>
          <w:szCs w:val="24"/>
        </w:rPr>
        <w:t xml:space="preserve"> определены цели и задачи исследования, обозначена актуальность работы, названы методы исследования, а также описаны объект, предмет, научно-методологическая и эмпирическая базы вып</w:t>
      </w:r>
      <w:r w:rsidR="00CD704C">
        <w:rPr>
          <w:rFonts w:ascii="Arial" w:hAnsi="Arial" w:cs="Arial"/>
          <w:sz w:val="24"/>
          <w:szCs w:val="24"/>
        </w:rPr>
        <w:t>ускной квалификационной работы.</w:t>
      </w:r>
    </w:p>
    <w:p w:rsidR="00681C40" w:rsidRDefault="00681C40" w:rsidP="00457312">
      <w:pPr>
        <w:pStyle w:val="ListParagraph1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первой главе</w:t>
      </w:r>
      <w:r>
        <w:rPr>
          <w:rFonts w:ascii="Arial" w:hAnsi="Arial" w:cs="Arial"/>
          <w:sz w:val="24"/>
          <w:szCs w:val="24"/>
        </w:rPr>
        <w:t xml:space="preserve"> рассмотрены основные теоретические положения: определен ко</w:t>
      </w:r>
      <w:r w:rsidR="00BE1247">
        <w:rPr>
          <w:rFonts w:ascii="Arial" w:hAnsi="Arial" w:cs="Arial"/>
          <w:sz w:val="24"/>
          <w:szCs w:val="24"/>
        </w:rPr>
        <w:t>нтекст политического дискурса</w:t>
      </w:r>
      <w:r>
        <w:rPr>
          <w:rFonts w:ascii="Arial" w:hAnsi="Arial" w:cs="Arial"/>
          <w:sz w:val="24"/>
          <w:szCs w:val="24"/>
        </w:rPr>
        <w:t>; изучены основные положения теории речевых жанров как лингвистической теории, наиболее полно отвечающей поставленной задаче исследования лозунга как</w:t>
      </w:r>
      <w:r w:rsidR="00BE1247">
        <w:rPr>
          <w:rFonts w:ascii="Arial" w:hAnsi="Arial" w:cs="Arial"/>
          <w:sz w:val="24"/>
          <w:szCs w:val="24"/>
        </w:rPr>
        <w:t xml:space="preserve"> устойчивого типа высказывания. </w:t>
      </w:r>
      <w:r>
        <w:rPr>
          <w:rFonts w:ascii="Arial" w:hAnsi="Arial" w:cs="Arial"/>
          <w:sz w:val="24"/>
          <w:szCs w:val="24"/>
        </w:rPr>
        <w:t xml:space="preserve">Доказано, что лозунг является речевым жанром, описаны модели этого РЖ согласно концепциям, предложенным российскими лингвистами. </w:t>
      </w:r>
      <w:r w:rsidR="00BE1247">
        <w:rPr>
          <w:rFonts w:ascii="Arial" w:hAnsi="Arial" w:cs="Arial"/>
          <w:sz w:val="24"/>
          <w:szCs w:val="24"/>
        </w:rPr>
        <w:t>Составлена собственная классификация современного политического лозунга, основанная на экстралингвистических факторах его реализации.</w:t>
      </w:r>
    </w:p>
    <w:p w:rsidR="00681C40" w:rsidRDefault="00681C40" w:rsidP="00457312">
      <w:pPr>
        <w:pStyle w:val="ListParagraph1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Вторая глава</w:t>
      </w:r>
      <w:r>
        <w:rPr>
          <w:rFonts w:ascii="Arial" w:hAnsi="Arial" w:cs="Arial"/>
          <w:sz w:val="24"/>
          <w:szCs w:val="24"/>
        </w:rPr>
        <w:t xml:space="preserve"> содержит лингвостилистический анализ эмпирической базы исследования. Определяются стилистико-речевые функции рече</w:t>
      </w:r>
      <w:r w:rsidR="00BE1247">
        <w:rPr>
          <w:rFonts w:ascii="Arial" w:hAnsi="Arial" w:cs="Arial"/>
          <w:sz w:val="24"/>
          <w:szCs w:val="24"/>
        </w:rPr>
        <w:t xml:space="preserve">вого жанра политического лозунга, а именно эмотивная, </w:t>
      </w:r>
      <w:proofErr w:type="gramStart"/>
      <w:r w:rsidR="00BE1247">
        <w:rPr>
          <w:rFonts w:ascii="Arial" w:hAnsi="Arial" w:cs="Arial"/>
          <w:sz w:val="24"/>
          <w:szCs w:val="24"/>
        </w:rPr>
        <w:t>воздействующая</w:t>
      </w:r>
      <w:proofErr w:type="gramEnd"/>
      <w:r w:rsidR="00BE124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E1247">
        <w:rPr>
          <w:rFonts w:ascii="Arial" w:hAnsi="Arial" w:cs="Arial"/>
          <w:sz w:val="24"/>
          <w:szCs w:val="24"/>
        </w:rPr>
        <w:t>к</w:t>
      </w:r>
      <w:r w:rsidR="00BE1247" w:rsidRPr="00BE1247">
        <w:rPr>
          <w:rFonts w:ascii="Arial" w:hAnsi="Arial" w:cs="Arial"/>
          <w:sz w:val="24"/>
          <w:szCs w:val="24"/>
        </w:rPr>
        <w:t>оннативная</w:t>
      </w:r>
      <w:proofErr w:type="spellEnd"/>
      <w:r w:rsidR="00BE1247">
        <w:rPr>
          <w:rFonts w:ascii="Arial" w:hAnsi="Arial" w:cs="Arial"/>
          <w:sz w:val="24"/>
          <w:szCs w:val="24"/>
        </w:rPr>
        <w:t>. В</w:t>
      </w:r>
      <w:r w:rsidR="00AC39F3">
        <w:rPr>
          <w:rFonts w:ascii="Arial" w:hAnsi="Arial" w:cs="Arial"/>
          <w:sz w:val="24"/>
          <w:szCs w:val="24"/>
        </w:rPr>
        <w:t xml:space="preserve"> соответствии с ними анализирую</w:t>
      </w:r>
      <w:r>
        <w:rPr>
          <w:rFonts w:ascii="Arial" w:hAnsi="Arial" w:cs="Arial"/>
          <w:sz w:val="24"/>
          <w:szCs w:val="24"/>
        </w:rPr>
        <w:t>тся средства морфологии, лексики и синтаксиса, направленные на реализацию этих функций. Выявляются наиболее востребованные для создания лозунгов стилистические средства</w:t>
      </w:r>
      <w:r w:rsidR="00BE1247">
        <w:rPr>
          <w:rFonts w:ascii="Arial" w:hAnsi="Arial" w:cs="Arial"/>
          <w:sz w:val="24"/>
          <w:szCs w:val="24"/>
        </w:rPr>
        <w:t xml:space="preserve">, в частности, использование различных лексических пластов, личных местоимений и глагольных форм, определенно-личных предложений, восклицательной </w:t>
      </w:r>
      <w:r w:rsidR="00AC39F3">
        <w:rPr>
          <w:rFonts w:ascii="Arial" w:hAnsi="Arial" w:cs="Arial"/>
          <w:sz w:val="24"/>
          <w:szCs w:val="24"/>
        </w:rPr>
        <w:t xml:space="preserve">и </w:t>
      </w:r>
      <w:r w:rsidR="00BE1247">
        <w:rPr>
          <w:rFonts w:ascii="Arial" w:hAnsi="Arial" w:cs="Arial"/>
          <w:sz w:val="24"/>
          <w:szCs w:val="24"/>
        </w:rPr>
        <w:t xml:space="preserve">побудительной интонации. </w:t>
      </w:r>
      <w:r>
        <w:rPr>
          <w:rFonts w:ascii="Arial" w:hAnsi="Arial" w:cs="Arial"/>
          <w:sz w:val="24"/>
          <w:szCs w:val="24"/>
        </w:rPr>
        <w:t xml:space="preserve">На основе этого анализа сделаны выводы об особенностях коммуникативного функционирования политических лозунгов. </w:t>
      </w:r>
    </w:p>
    <w:p w:rsidR="00681C40" w:rsidRDefault="00681C40" w:rsidP="00457312">
      <w:pPr>
        <w:pStyle w:val="ListParagraph1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заключении</w:t>
      </w:r>
      <w:r>
        <w:rPr>
          <w:rFonts w:ascii="Arial" w:hAnsi="Arial" w:cs="Arial"/>
          <w:sz w:val="24"/>
          <w:szCs w:val="24"/>
        </w:rPr>
        <w:t xml:space="preserve"> сформулированы основные</w:t>
      </w:r>
      <w:r w:rsidR="00CD704C">
        <w:rPr>
          <w:rFonts w:ascii="Arial" w:hAnsi="Arial" w:cs="Arial"/>
          <w:sz w:val="24"/>
          <w:szCs w:val="24"/>
        </w:rPr>
        <w:t xml:space="preserve"> выводы исследования. Приложение содержи</w:t>
      </w:r>
      <w:r>
        <w:rPr>
          <w:rFonts w:ascii="Arial" w:hAnsi="Arial" w:cs="Arial"/>
          <w:sz w:val="24"/>
          <w:szCs w:val="24"/>
        </w:rPr>
        <w:t xml:space="preserve">т </w:t>
      </w:r>
      <w:r w:rsidR="00CD704C">
        <w:rPr>
          <w:rFonts w:ascii="Arial" w:hAnsi="Arial" w:cs="Arial"/>
          <w:sz w:val="24"/>
          <w:szCs w:val="24"/>
        </w:rPr>
        <w:t>эмпирическую базу исследования.</w:t>
      </w:r>
    </w:p>
    <w:sectPr w:rsidR="00681C4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57312"/>
    <w:rsid w:val="004525D2"/>
    <w:rsid w:val="00457312"/>
    <w:rsid w:val="004D209B"/>
    <w:rsid w:val="005059C2"/>
    <w:rsid w:val="00681C40"/>
    <w:rsid w:val="00AC39F3"/>
    <w:rsid w:val="00BE1247"/>
    <w:rsid w:val="00CD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1">
    <w:name w:val="List Paragraph1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l.feshchenko</cp:lastModifiedBy>
  <cp:revision>2</cp:revision>
  <cp:lastPrinted>1601-01-01T00:00:00Z</cp:lastPrinted>
  <dcterms:created xsi:type="dcterms:W3CDTF">2014-05-05T14:22:00Z</dcterms:created>
  <dcterms:modified xsi:type="dcterms:W3CDTF">2014-05-05T14:22:00Z</dcterms:modified>
</cp:coreProperties>
</file>