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106A8">
        <w:rPr>
          <w:rFonts w:ascii="Arial" w:eastAsia="Calibri" w:hAnsi="Arial" w:cs="Arial"/>
          <w:sz w:val="24"/>
          <w:szCs w:val="24"/>
        </w:rPr>
        <w:t>Филатова Ольга Георгиевна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к. филос. н., доцент</w:t>
      </w:r>
    </w:p>
    <w:p w:rsidR="009106A8" w:rsidRPr="00AF099F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Кафедра связей с общественностью</w:t>
      </w:r>
      <w:r w:rsidRPr="00AF099F">
        <w:rPr>
          <w:rFonts w:ascii="Arial" w:eastAsia="Calibri" w:hAnsi="Arial" w:cs="Arial"/>
          <w:sz w:val="24"/>
          <w:szCs w:val="24"/>
        </w:rPr>
        <w:t xml:space="preserve"> 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AF099F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Очная форма, 4 курс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7-8 семестр</w:t>
      </w:r>
    </w:p>
    <w:p w:rsidR="009106A8" w:rsidRPr="009106A8" w:rsidRDefault="00E9159C" w:rsidP="009106A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3E5EE6">
        <w:rPr>
          <w:rFonts w:ascii="Arial" w:eastAsia="Times New Roman" w:hAnsi="Arial" w:cs="Arial"/>
          <w:sz w:val="24"/>
          <w:szCs w:val="24"/>
          <w:lang w:val="en-US"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- 201</w:t>
      </w:r>
      <w:r w:rsidR="003E5EE6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="009106A8" w:rsidRPr="009106A8">
        <w:rPr>
          <w:rFonts w:ascii="Arial" w:eastAsia="Times New Roman" w:hAnsi="Arial" w:cs="Arial"/>
          <w:sz w:val="24"/>
          <w:szCs w:val="24"/>
          <w:lang w:eastAsia="ru-RU"/>
        </w:rPr>
        <w:t xml:space="preserve"> уч.г.</w:t>
      </w:r>
    </w:p>
    <w:p w:rsidR="009106A8" w:rsidRPr="009106A8" w:rsidRDefault="009106A8" w:rsidP="009106A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AF099F">
        <w:rPr>
          <w:rFonts w:ascii="Arial" w:eastAsia="Times New Roman" w:hAnsi="Arial" w:cs="Arial"/>
          <w:b/>
          <w:sz w:val="24"/>
          <w:szCs w:val="24"/>
          <w:lang w:val="en-US" w:eastAsia="ru-RU"/>
        </w:rPr>
        <w:t>R</w:t>
      </w:r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-ПОДДЕРЖКА РЕАЛИЗАЦИИ ФЕДЕРАЛЬНЫХ, РЕГИОНАЛЬНЫХ, МУНИЦИПАЛЬНЫХ ПРОГРАММ</w:t>
      </w: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Спецсеминар </w:t>
      </w: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40E3" w:rsidRDefault="005640E3" w:rsidP="00AF09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C</w:t>
      </w:r>
      <w:r w:rsidRPr="00AF099F">
        <w:rPr>
          <w:rFonts w:ascii="Arial" w:hAnsi="Arial" w:cs="Arial"/>
          <w:sz w:val="24"/>
          <w:szCs w:val="24"/>
        </w:rPr>
        <w:t xml:space="preserve">пецсеминар посвящен изучению практики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-поддержки и информационного сопровождения реал</w:t>
      </w:r>
      <w:r w:rsidR="006E67F1">
        <w:rPr>
          <w:rFonts w:ascii="Arial" w:hAnsi="Arial" w:cs="Arial"/>
          <w:sz w:val="24"/>
          <w:szCs w:val="24"/>
        </w:rPr>
        <w:t xml:space="preserve">изации </w:t>
      </w:r>
      <w:r w:rsidR="00CE6790">
        <w:rPr>
          <w:rFonts w:ascii="Arial" w:hAnsi="Arial" w:cs="Arial"/>
          <w:sz w:val="24"/>
          <w:szCs w:val="24"/>
        </w:rPr>
        <w:t>программ</w:t>
      </w:r>
      <w:r w:rsidR="006E67F1">
        <w:rPr>
          <w:rFonts w:ascii="Arial" w:hAnsi="Arial" w:cs="Arial"/>
          <w:sz w:val="24"/>
          <w:szCs w:val="24"/>
        </w:rPr>
        <w:t>, принимаемых органами государственной власти разного уровня: центрального, регионального, местного</w:t>
      </w:r>
      <w:r w:rsidR="00CE6790">
        <w:rPr>
          <w:rFonts w:ascii="Arial" w:hAnsi="Arial" w:cs="Arial"/>
          <w:sz w:val="24"/>
          <w:szCs w:val="24"/>
        </w:rPr>
        <w:t>.</w:t>
      </w:r>
    </w:p>
    <w:p w:rsidR="00AE059D" w:rsidRDefault="00173974" w:rsidP="000A1A19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</w:t>
      </w:r>
      <w:r w:rsidR="00AE059D" w:rsidRPr="00AE059D">
        <w:rPr>
          <w:rFonts w:ascii="Arial" w:hAnsi="Arial" w:cs="Arial"/>
          <w:sz w:val="24"/>
          <w:szCs w:val="24"/>
        </w:rPr>
        <w:t xml:space="preserve">осударственный </w:t>
      </w:r>
      <w:r w:rsidR="00AE059D" w:rsidRPr="00AE059D">
        <w:rPr>
          <w:rFonts w:ascii="Arial" w:hAnsi="Arial" w:cs="Arial"/>
          <w:sz w:val="24"/>
          <w:szCs w:val="24"/>
          <w:lang w:val="en-US"/>
        </w:rPr>
        <w:t>PR</w:t>
      </w:r>
      <w:r w:rsidR="00AE059D" w:rsidRPr="00AE059D">
        <w:rPr>
          <w:rFonts w:ascii="Arial" w:hAnsi="Arial" w:cs="Arial"/>
          <w:sz w:val="24"/>
          <w:szCs w:val="24"/>
        </w:rPr>
        <w:t xml:space="preserve"> является неотъемлемым условием продвижения и</w:t>
      </w:r>
      <w:r w:rsidR="00CE6790">
        <w:rPr>
          <w:rFonts w:ascii="Arial" w:hAnsi="Arial" w:cs="Arial"/>
          <w:sz w:val="24"/>
          <w:szCs w:val="24"/>
        </w:rPr>
        <w:t xml:space="preserve"> реализации принимаемых программ, способствуя разъяснению органами власти </w:t>
      </w:r>
      <w:r w:rsidR="00726FCA">
        <w:rPr>
          <w:rFonts w:ascii="Arial" w:hAnsi="Arial" w:cs="Arial"/>
          <w:sz w:val="24"/>
          <w:szCs w:val="24"/>
        </w:rPr>
        <w:t>своих действий как</w:t>
      </w:r>
      <w:r w:rsidR="00CE6790" w:rsidRPr="00CE6790">
        <w:rPr>
          <w:rFonts w:ascii="Arial" w:hAnsi="Arial" w:cs="Arial"/>
          <w:sz w:val="24"/>
          <w:szCs w:val="24"/>
        </w:rPr>
        <w:t xml:space="preserve"> целенаправленных, спосо</w:t>
      </w:r>
      <w:r w:rsidR="00CE6790">
        <w:rPr>
          <w:rFonts w:ascii="Arial" w:hAnsi="Arial" w:cs="Arial"/>
          <w:sz w:val="24"/>
          <w:szCs w:val="24"/>
        </w:rPr>
        <w:t>бств</w:t>
      </w:r>
      <w:r w:rsidR="00A457F1">
        <w:rPr>
          <w:rFonts w:ascii="Arial" w:hAnsi="Arial" w:cs="Arial"/>
          <w:sz w:val="24"/>
          <w:szCs w:val="24"/>
        </w:rPr>
        <w:t xml:space="preserve">ующих </w:t>
      </w:r>
      <w:r w:rsidR="00CE6790" w:rsidRPr="00CE6790">
        <w:rPr>
          <w:rFonts w:ascii="Arial" w:hAnsi="Arial" w:cs="Arial"/>
          <w:sz w:val="24"/>
          <w:szCs w:val="24"/>
        </w:rPr>
        <w:t>достижению интересов граждан</w:t>
      </w:r>
      <w:r w:rsidR="00CE6790">
        <w:rPr>
          <w:rFonts w:ascii="Arial" w:hAnsi="Arial" w:cs="Arial"/>
          <w:sz w:val="24"/>
          <w:szCs w:val="24"/>
        </w:rPr>
        <w:t>.</w:t>
      </w:r>
      <w:r w:rsidR="000A1A19" w:rsidRPr="000A1A19">
        <w:rPr>
          <w:rFonts w:ascii="Arial" w:hAnsi="Arial" w:cs="Arial"/>
          <w:sz w:val="24"/>
          <w:szCs w:val="24"/>
        </w:rPr>
        <w:t xml:space="preserve"> Кроме того, информационное сопровождение реа</w:t>
      </w:r>
      <w:r w:rsidR="00CE6790">
        <w:rPr>
          <w:rFonts w:ascii="Arial" w:hAnsi="Arial" w:cs="Arial"/>
          <w:sz w:val="24"/>
          <w:szCs w:val="24"/>
        </w:rPr>
        <w:t xml:space="preserve">лизации государственных программ </w:t>
      </w:r>
      <w:r w:rsidR="000A1A19" w:rsidRPr="000A1A19">
        <w:rPr>
          <w:rFonts w:ascii="Arial" w:hAnsi="Arial" w:cs="Arial"/>
          <w:sz w:val="24"/>
          <w:szCs w:val="24"/>
        </w:rPr>
        <w:t xml:space="preserve">должно быть нацелено на повышение заинтересованности самих государственных </w:t>
      </w:r>
      <w:r w:rsidR="002F3631">
        <w:rPr>
          <w:rFonts w:ascii="Arial" w:hAnsi="Arial" w:cs="Arial"/>
          <w:sz w:val="24"/>
          <w:szCs w:val="24"/>
        </w:rPr>
        <w:t xml:space="preserve">служащих, осознание ими </w:t>
      </w:r>
      <w:r w:rsidR="00AE059D">
        <w:rPr>
          <w:rFonts w:ascii="Arial" w:hAnsi="Arial" w:cs="Arial"/>
          <w:sz w:val="24"/>
          <w:szCs w:val="24"/>
        </w:rPr>
        <w:t>це</w:t>
      </w:r>
      <w:r w:rsidR="002F3631">
        <w:rPr>
          <w:rFonts w:ascii="Arial" w:hAnsi="Arial" w:cs="Arial"/>
          <w:sz w:val="24"/>
          <w:szCs w:val="24"/>
        </w:rPr>
        <w:t>ли и задач</w:t>
      </w:r>
      <w:r w:rsidR="00AE059D">
        <w:rPr>
          <w:rFonts w:ascii="Arial" w:hAnsi="Arial" w:cs="Arial"/>
          <w:sz w:val="24"/>
          <w:szCs w:val="24"/>
        </w:rPr>
        <w:t xml:space="preserve"> реализуемых программ</w:t>
      </w:r>
      <w:r w:rsidR="000A1A19" w:rsidRPr="000A1A19">
        <w:rPr>
          <w:rFonts w:ascii="Arial" w:hAnsi="Arial" w:cs="Arial"/>
          <w:sz w:val="24"/>
          <w:szCs w:val="24"/>
        </w:rPr>
        <w:t>.</w:t>
      </w:r>
      <w:r w:rsidR="00AE059D" w:rsidRPr="00AE059D">
        <w:rPr>
          <w:sz w:val="28"/>
          <w:szCs w:val="28"/>
        </w:rPr>
        <w:t xml:space="preserve"> </w:t>
      </w:r>
    </w:p>
    <w:p w:rsidR="00001EEA" w:rsidRDefault="00BA4602" w:rsidP="00367F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4602">
        <w:rPr>
          <w:rFonts w:ascii="Arial" w:hAnsi="Arial" w:cs="Arial"/>
          <w:sz w:val="24"/>
          <w:szCs w:val="24"/>
        </w:rPr>
        <w:t xml:space="preserve">Таким образом, </w:t>
      </w:r>
      <w:r>
        <w:rPr>
          <w:rFonts w:ascii="Arial" w:hAnsi="Arial" w:cs="Arial"/>
          <w:sz w:val="24"/>
          <w:szCs w:val="24"/>
        </w:rPr>
        <w:t xml:space="preserve">на спецсеминаре студенты учатся, </w:t>
      </w:r>
      <w:r w:rsidRPr="00BA4602">
        <w:rPr>
          <w:rFonts w:ascii="Arial" w:hAnsi="Arial" w:cs="Arial"/>
          <w:sz w:val="24"/>
          <w:szCs w:val="24"/>
        </w:rPr>
        <w:t xml:space="preserve">во-первых, </w:t>
      </w:r>
      <w:r>
        <w:rPr>
          <w:rFonts w:ascii="Arial" w:hAnsi="Arial" w:cs="Arial"/>
          <w:sz w:val="24"/>
          <w:szCs w:val="24"/>
        </w:rPr>
        <w:t>определя</w:t>
      </w:r>
      <w:r w:rsidRPr="00BA4602">
        <w:rPr>
          <w:rFonts w:ascii="Arial" w:hAnsi="Arial" w:cs="Arial"/>
          <w:sz w:val="24"/>
          <w:szCs w:val="24"/>
        </w:rPr>
        <w:t>ть инструменты</w:t>
      </w:r>
      <w:r w:rsidR="00A457F1">
        <w:rPr>
          <w:rFonts w:ascii="Arial" w:hAnsi="Arial" w:cs="Arial"/>
          <w:sz w:val="24"/>
          <w:szCs w:val="24"/>
        </w:rPr>
        <w:t>, формы и методы</w:t>
      </w:r>
      <w:r w:rsidRPr="00BA4602">
        <w:rPr>
          <w:rFonts w:ascii="Arial" w:hAnsi="Arial" w:cs="Arial"/>
          <w:sz w:val="24"/>
          <w:szCs w:val="24"/>
        </w:rPr>
        <w:t xml:space="preserve"> продвижения информации</w:t>
      </w:r>
      <w:r>
        <w:rPr>
          <w:rFonts w:ascii="Arial" w:hAnsi="Arial" w:cs="Arial"/>
          <w:sz w:val="24"/>
          <w:szCs w:val="24"/>
        </w:rPr>
        <w:t xml:space="preserve"> о реализации той или иной государственной программы</w:t>
      </w:r>
      <w:r w:rsidR="002F3631">
        <w:rPr>
          <w:rFonts w:ascii="Arial" w:hAnsi="Arial" w:cs="Arial"/>
          <w:sz w:val="24"/>
          <w:szCs w:val="24"/>
        </w:rPr>
        <w:t xml:space="preserve"> различным группам общественности</w:t>
      </w:r>
      <w:r w:rsidRPr="00BA4602">
        <w:rPr>
          <w:rFonts w:ascii="Arial" w:hAnsi="Arial" w:cs="Arial"/>
          <w:sz w:val="24"/>
          <w:szCs w:val="24"/>
        </w:rPr>
        <w:t xml:space="preserve">. Во-вторых, </w:t>
      </w:r>
      <w:r>
        <w:rPr>
          <w:rFonts w:ascii="Arial" w:hAnsi="Arial" w:cs="Arial"/>
          <w:sz w:val="24"/>
          <w:szCs w:val="24"/>
        </w:rPr>
        <w:t>анализируют</w:t>
      </w:r>
      <w:r w:rsidRPr="00BA4602">
        <w:rPr>
          <w:rFonts w:ascii="Arial" w:hAnsi="Arial" w:cs="Arial"/>
          <w:sz w:val="24"/>
          <w:szCs w:val="24"/>
        </w:rPr>
        <w:t xml:space="preserve"> имеющиеся резул</w:t>
      </w:r>
      <w:r>
        <w:rPr>
          <w:rFonts w:ascii="Arial" w:hAnsi="Arial" w:cs="Arial"/>
          <w:sz w:val="24"/>
          <w:szCs w:val="24"/>
        </w:rPr>
        <w:t xml:space="preserve">ьтаты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BA46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сопровождения</w:t>
      </w:r>
      <w:r w:rsidRPr="00BA4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 различного уровня, выявляют общие закономерности</w:t>
      </w:r>
      <w:r w:rsidR="00A457F1">
        <w:rPr>
          <w:rFonts w:ascii="Arial" w:hAnsi="Arial" w:cs="Arial"/>
          <w:sz w:val="24"/>
          <w:szCs w:val="24"/>
        </w:rPr>
        <w:t xml:space="preserve">, а также  противоречия </w:t>
      </w:r>
      <w:r w:rsidR="00A457F1" w:rsidRPr="00BA4602">
        <w:rPr>
          <w:rFonts w:ascii="Arial" w:hAnsi="Arial" w:cs="Arial"/>
          <w:sz w:val="24"/>
          <w:szCs w:val="24"/>
        </w:rPr>
        <w:t>в осуществлении данного сопровождения</w:t>
      </w:r>
      <w:r w:rsidRPr="00BA4602">
        <w:rPr>
          <w:rFonts w:ascii="Arial" w:hAnsi="Arial" w:cs="Arial"/>
          <w:sz w:val="24"/>
          <w:szCs w:val="24"/>
        </w:rPr>
        <w:t xml:space="preserve">.  В-третьих, </w:t>
      </w:r>
      <w:r w:rsidR="00001EEA">
        <w:rPr>
          <w:rFonts w:ascii="Arial" w:hAnsi="Arial" w:cs="Arial"/>
          <w:sz w:val="24"/>
          <w:szCs w:val="24"/>
        </w:rPr>
        <w:t xml:space="preserve">анализ практики </w:t>
      </w:r>
      <w:r w:rsidR="00001EEA">
        <w:rPr>
          <w:rFonts w:ascii="Arial" w:hAnsi="Arial" w:cs="Arial"/>
          <w:sz w:val="24"/>
          <w:szCs w:val="24"/>
          <w:lang w:val="en-US"/>
        </w:rPr>
        <w:t>PR</w:t>
      </w:r>
      <w:r w:rsidR="00001EEA" w:rsidRPr="00001EEA">
        <w:rPr>
          <w:rFonts w:ascii="Arial" w:hAnsi="Arial" w:cs="Arial"/>
          <w:sz w:val="24"/>
          <w:szCs w:val="24"/>
        </w:rPr>
        <w:t>-</w:t>
      </w:r>
      <w:r w:rsidRPr="00BA4602">
        <w:rPr>
          <w:rFonts w:ascii="Arial" w:hAnsi="Arial" w:cs="Arial"/>
          <w:sz w:val="24"/>
          <w:szCs w:val="24"/>
        </w:rPr>
        <w:t>сопров</w:t>
      </w:r>
      <w:r w:rsidR="00001EEA">
        <w:rPr>
          <w:rFonts w:ascii="Arial" w:hAnsi="Arial" w:cs="Arial"/>
          <w:sz w:val="24"/>
          <w:szCs w:val="24"/>
        </w:rPr>
        <w:t xml:space="preserve">ождения реализации государственных </w:t>
      </w:r>
      <w:r w:rsidR="00141E04">
        <w:rPr>
          <w:rFonts w:ascii="Arial" w:hAnsi="Arial" w:cs="Arial"/>
          <w:sz w:val="24"/>
          <w:szCs w:val="24"/>
        </w:rPr>
        <w:t xml:space="preserve">и муниципальных </w:t>
      </w:r>
      <w:r w:rsidR="00001EEA">
        <w:rPr>
          <w:rFonts w:ascii="Arial" w:hAnsi="Arial" w:cs="Arial"/>
          <w:sz w:val="24"/>
          <w:szCs w:val="24"/>
        </w:rPr>
        <w:t xml:space="preserve">программ различного уровня </w:t>
      </w:r>
      <w:r w:rsidR="00367FB9">
        <w:rPr>
          <w:rFonts w:ascii="Arial" w:hAnsi="Arial" w:cs="Arial"/>
          <w:sz w:val="24"/>
          <w:szCs w:val="24"/>
        </w:rPr>
        <w:t>и направлений (</w:t>
      </w:r>
      <w:r w:rsidR="00367FB9" w:rsidRPr="00367FB9">
        <w:rPr>
          <w:rFonts w:ascii="Arial" w:hAnsi="Arial" w:cs="Arial"/>
          <w:sz w:val="24"/>
          <w:szCs w:val="24"/>
        </w:rPr>
        <w:t>соц</w:t>
      </w:r>
      <w:r w:rsidR="00367FB9">
        <w:rPr>
          <w:rFonts w:ascii="Arial" w:hAnsi="Arial" w:cs="Arial"/>
          <w:sz w:val="24"/>
          <w:szCs w:val="24"/>
        </w:rPr>
        <w:t>иальных, экологических, научно-технических</w:t>
      </w:r>
      <w:r w:rsidR="00367FB9" w:rsidRPr="00367FB9">
        <w:rPr>
          <w:rFonts w:ascii="Arial" w:hAnsi="Arial" w:cs="Arial"/>
          <w:sz w:val="24"/>
          <w:szCs w:val="24"/>
        </w:rPr>
        <w:t xml:space="preserve"> и др</w:t>
      </w:r>
      <w:r w:rsidR="00367FB9">
        <w:rPr>
          <w:rFonts w:ascii="Arial" w:hAnsi="Arial" w:cs="Arial"/>
          <w:sz w:val="24"/>
          <w:szCs w:val="24"/>
        </w:rPr>
        <w:t>.)</w:t>
      </w:r>
      <w:r w:rsidR="00367FB9" w:rsidRPr="00367FB9">
        <w:rPr>
          <w:rFonts w:ascii="Arial" w:hAnsi="Arial" w:cs="Arial"/>
          <w:sz w:val="24"/>
          <w:szCs w:val="24"/>
        </w:rPr>
        <w:t xml:space="preserve"> </w:t>
      </w:r>
      <w:r w:rsidR="00001EEA">
        <w:rPr>
          <w:rFonts w:ascii="Arial" w:hAnsi="Arial" w:cs="Arial"/>
          <w:sz w:val="24"/>
          <w:szCs w:val="24"/>
        </w:rPr>
        <w:t>позволяе</w:t>
      </w:r>
      <w:r w:rsidRPr="00BA4602">
        <w:rPr>
          <w:rFonts w:ascii="Arial" w:hAnsi="Arial" w:cs="Arial"/>
          <w:sz w:val="24"/>
          <w:szCs w:val="24"/>
        </w:rPr>
        <w:t xml:space="preserve">т </w:t>
      </w:r>
      <w:r w:rsidR="00001EEA">
        <w:rPr>
          <w:rFonts w:ascii="Arial" w:hAnsi="Arial" w:cs="Arial"/>
          <w:sz w:val="24"/>
          <w:szCs w:val="24"/>
        </w:rPr>
        <w:t xml:space="preserve">студентам самостоятельно разрабатывать подобного рода проекты и программы. </w:t>
      </w:r>
    </w:p>
    <w:p w:rsidR="002F3631" w:rsidRDefault="002F3631" w:rsidP="00BA460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внимание на спецсеминаре уделяется </w:t>
      </w:r>
      <w:r w:rsidR="00460BB3">
        <w:rPr>
          <w:rFonts w:ascii="Arial" w:hAnsi="Arial" w:cs="Arial"/>
          <w:sz w:val="24"/>
          <w:szCs w:val="24"/>
          <w:lang w:val="en-US"/>
        </w:rPr>
        <w:t>PR</w:t>
      </w:r>
      <w:r w:rsidR="00460BB3" w:rsidRPr="00460BB3">
        <w:rPr>
          <w:rFonts w:ascii="Arial" w:hAnsi="Arial" w:cs="Arial"/>
          <w:sz w:val="24"/>
          <w:szCs w:val="24"/>
        </w:rPr>
        <w:t>-</w:t>
      </w:r>
      <w:r w:rsidR="00460BB3">
        <w:rPr>
          <w:rFonts w:ascii="Arial" w:hAnsi="Arial" w:cs="Arial"/>
          <w:sz w:val="24"/>
          <w:szCs w:val="24"/>
        </w:rPr>
        <w:t xml:space="preserve">поддержке реализации программ различного уровня </w:t>
      </w:r>
      <w:r w:rsidR="00E91829" w:rsidRPr="00E91829">
        <w:rPr>
          <w:rFonts w:ascii="Arial" w:hAnsi="Arial" w:cs="Arial"/>
          <w:sz w:val="24"/>
          <w:szCs w:val="24"/>
        </w:rPr>
        <w:t xml:space="preserve">в </w:t>
      </w:r>
      <w:r w:rsidR="00E91829">
        <w:rPr>
          <w:rFonts w:ascii="Arial" w:hAnsi="Arial" w:cs="Arial"/>
          <w:sz w:val="24"/>
          <w:szCs w:val="24"/>
        </w:rPr>
        <w:t xml:space="preserve">современной цифровой среде, с использованием технологий </w:t>
      </w:r>
      <w:r w:rsidR="00E91829" w:rsidRPr="00E91829">
        <w:rPr>
          <w:rFonts w:ascii="Arial" w:hAnsi="Arial" w:cs="Arial"/>
          <w:sz w:val="24"/>
          <w:szCs w:val="24"/>
          <w:lang w:val="en-US"/>
        </w:rPr>
        <w:t>Web</w:t>
      </w:r>
      <w:r w:rsidR="00E91829" w:rsidRPr="00E91829">
        <w:rPr>
          <w:rFonts w:ascii="Arial" w:hAnsi="Arial" w:cs="Arial"/>
          <w:sz w:val="24"/>
          <w:szCs w:val="24"/>
        </w:rPr>
        <w:t xml:space="preserve"> 2.0</w:t>
      </w:r>
      <w:r w:rsidR="00E91829">
        <w:rPr>
          <w:rFonts w:ascii="Arial" w:hAnsi="Arial" w:cs="Arial"/>
          <w:sz w:val="24"/>
          <w:szCs w:val="24"/>
        </w:rPr>
        <w:t>.</w:t>
      </w:r>
      <w:r w:rsidR="00460BB3">
        <w:rPr>
          <w:rFonts w:ascii="Arial" w:hAnsi="Arial" w:cs="Arial"/>
          <w:sz w:val="24"/>
          <w:szCs w:val="24"/>
        </w:rPr>
        <w:t xml:space="preserve"> Значительное место </w:t>
      </w:r>
      <w:r w:rsidR="00720D65">
        <w:rPr>
          <w:rFonts w:ascii="Arial" w:hAnsi="Arial" w:cs="Arial"/>
          <w:sz w:val="24"/>
          <w:szCs w:val="24"/>
        </w:rPr>
        <w:t xml:space="preserve">в программе спецсеминара </w:t>
      </w:r>
      <w:r w:rsidR="00460BB3">
        <w:rPr>
          <w:rFonts w:ascii="Arial" w:hAnsi="Arial" w:cs="Arial"/>
          <w:sz w:val="24"/>
          <w:szCs w:val="24"/>
        </w:rPr>
        <w:t>занимает анализ PR-сопровождения</w:t>
      </w:r>
      <w:r w:rsidR="00460BB3" w:rsidRPr="00AF099F">
        <w:rPr>
          <w:rFonts w:ascii="Arial" w:hAnsi="Arial" w:cs="Arial"/>
          <w:sz w:val="24"/>
          <w:szCs w:val="24"/>
        </w:rPr>
        <w:t xml:space="preserve"> программ развития информационного общества и предоставления </w:t>
      </w:r>
      <w:r w:rsidR="00460BB3">
        <w:rPr>
          <w:rFonts w:ascii="Arial" w:hAnsi="Arial" w:cs="Arial"/>
          <w:sz w:val="24"/>
          <w:szCs w:val="24"/>
        </w:rPr>
        <w:t xml:space="preserve">государством </w:t>
      </w:r>
      <w:r w:rsidR="00460BB3" w:rsidRPr="00AF099F">
        <w:rPr>
          <w:rFonts w:ascii="Arial" w:hAnsi="Arial" w:cs="Arial"/>
          <w:sz w:val="24"/>
          <w:szCs w:val="24"/>
        </w:rPr>
        <w:t>электронных услуг</w:t>
      </w:r>
      <w:r w:rsidR="00720D65">
        <w:rPr>
          <w:rFonts w:ascii="Arial" w:hAnsi="Arial" w:cs="Arial"/>
          <w:sz w:val="24"/>
          <w:szCs w:val="24"/>
        </w:rPr>
        <w:t>.</w:t>
      </w:r>
    </w:p>
    <w:p w:rsidR="00AF099F" w:rsidRPr="002F679A" w:rsidRDefault="00AF099F" w:rsidP="00AF099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Спецсеминар представляет</w:t>
      </w:r>
      <w:r w:rsidRPr="00AF099F">
        <w:rPr>
          <w:rFonts w:ascii="Arial" w:hAnsi="Arial" w:cs="Arial"/>
          <w:sz w:val="24"/>
          <w:szCs w:val="24"/>
        </w:rPr>
        <w:t xml:space="preserve"> интерес не только для студентов специальности «связи с общественностью», но и для студентов, обучающихся по направлению журналистика</w:t>
      </w:r>
      <w:r w:rsidR="002F679A">
        <w:rPr>
          <w:rFonts w:ascii="Arial" w:hAnsi="Arial" w:cs="Arial"/>
          <w:sz w:val="24"/>
          <w:szCs w:val="24"/>
        </w:rPr>
        <w:t xml:space="preserve">. </w:t>
      </w:r>
      <w:r w:rsidR="002F679A" w:rsidRPr="00BA4602">
        <w:rPr>
          <w:rFonts w:ascii="Arial" w:hAnsi="Arial" w:cs="Arial"/>
          <w:sz w:val="24"/>
          <w:szCs w:val="24"/>
        </w:rPr>
        <w:t>Стоит также</w:t>
      </w:r>
      <w:r w:rsidR="002F679A">
        <w:rPr>
          <w:rFonts w:ascii="Arial" w:hAnsi="Arial" w:cs="Arial"/>
          <w:sz w:val="24"/>
          <w:szCs w:val="24"/>
        </w:rPr>
        <w:t xml:space="preserve"> отметить, что тема</w:t>
      </w:r>
      <w:r w:rsidR="007C23F5">
        <w:rPr>
          <w:rFonts w:ascii="Arial" w:hAnsi="Arial" w:cs="Arial"/>
          <w:sz w:val="24"/>
          <w:szCs w:val="24"/>
        </w:rPr>
        <w:t>тика</w:t>
      </w:r>
      <w:r w:rsidR="002F679A">
        <w:rPr>
          <w:rFonts w:ascii="Arial" w:hAnsi="Arial" w:cs="Arial"/>
          <w:sz w:val="24"/>
          <w:szCs w:val="24"/>
        </w:rPr>
        <w:t xml:space="preserve"> спецсеминара</w:t>
      </w:r>
      <w:r w:rsidR="007C23F5">
        <w:rPr>
          <w:rFonts w:ascii="Arial" w:hAnsi="Arial" w:cs="Arial"/>
          <w:sz w:val="24"/>
          <w:szCs w:val="24"/>
        </w:rPr>
        <w:t xml:space="preserve"> соответствует</w:t>
      </w:r>
      <w:r w:rsidR="002F679A" w:rsidRPr="00BA4602">
        <w:rPr>
          <w:rFonts w:ascii="Arial" w:hAnsi="Arial" w:cs="Arial"/>
          <w:sz w:val="24"/>
          <w:szCs w:val="24"/>
        </w:rPr>
        <w:t xml:space="preserve"> потребностям государственных служащих и практических специалистов, работающих в области связей с общественностью. </w:t>
      </w:r>
    </w:p>
    <w:p w:rsidR="005640E3" w:rsidRDefault="009106A8" w:rsidP="009106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99F">
        <w:rPr>
          <w:rFonts w:ascii="Arial" w:hAnsi="Arial" w:cs="Arial"/>
          <w:b/>
          <w:sz w:val="24"/>
          <w:szCs w:val="24"/>
        </w:rPr>
        <w:lastRenderedPageBreak/>
        <w:t>Темы курсовых работ</w:t>
      </w:r>
    </w:p>
    <w:p w:rsidR="00911DA3" w:rsidRPr="00AF099F" w:rsidRDefault="00911DA3" w:rsidP="009106A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742C3" w:rsidRPr="00AF099F" w:rsidRDefault="008742C3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</w:t>
      </w:r>
      <w:r w:rsidR="002915B4" w:rsidRPr="00AF099F">
        <w:rPr>
          <w:rFonts w:ascii="Arial" w:hAnsi="Arial" w:cs="Arial"/>
          <w:sz w:val="24"/>
          <w:szCs w:val="24"/>
        </w:rPr>
        <w:t>технологии</w:t>
      </w:r>
      <w:r w:rsidRPr="00AF099F">
        <w:rPr>
          <w:rFonts w:ascii="Arial" w:hAnsi="Arial" w:cs="Arial"/>
          <w:sz w:val="24"/>
          <w:szCs w:val="24"/>
        </w:rPr>
        <w:t xml:space="preserve"> в системе государственного управления</w:t>
      </w:r>
    </w:p>
    <w:p w:rsidR="008742C3" w:rsidRDefault="008742C3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Методы, технологии, каналы воздействия власти на общественное мнение 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Маркетинг государственных услуг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государственными проектами и программами: инструментарий и программное обеспечение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C23">
        <w:rPr>
          <w:rFonts w:ascii="Arial" w:hAnsi="Arial" w:cs="Arial"/>
          <w:sz w:val="24"/>
          <w:szCs w:val="24"/>
        </w:rPr>
        <w:t>Нормативно-пра</w:t>
      </w:r>
      <w:r>
        <w:rPr>
          <w:rFonts w:ascii="Arial" w:hAnsi="Arial" w:cs="Arial"/>
          <w:sz w:val="24"/>
          <w:szCs w:val="24"/>
        </w:rPr>
        <w:t>вовая база</w:t>
      </w:r>
      <w:r w:rsidRPr="008B0C23">
        <w:rPr>
          <w:rFonts w:ascii="Arial" w:hAnsi="Arial" w:cs="Arial"/>
          <w:sz w:val="24"/>
          <w:szCs w:val="24"/>
        </w:rPr>
        <w:t xml:space="preserve"> разработки и реализации федеральных</w:t>
      </w:r>
      <w:r w:rsidR="00F71B30">
        <w:rPr>
          <w:rFonts w:ascii="Arial" w:hAnsi="Arial" w:cs="Arial"/>
          <w:sz w:val="24"/>
          <w:szCs w:val="24"/>
        </w:rPr>
        <w:t>/региональных</w:t>
      </w:r>
      <w:r w:rsidRPr="008B0C23">
        <w:rPr>
          <w:rFonts w:ascii="Arial" w:hAnsi="Arial" w:cs="Arial"/>
          <w:sz w:val="24"/>
          <w:szCs w:val="24"/>
        </w:rPr>
        <w:t xml:space="preserve"> целевых программ</w:t>
      </w:r>
    </w:p>
    <w:p w:rsidR="00F71B30" w:rsidRPr="00AF099F" w:rsidRDefault="00F71B30" w:rsidP="00F71B3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Digital</w:t>
      </w:r>
      <w:r w:rsidRPr="00AF099F"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 xml:space="preserve"> в государственном управлении</w:t>
      </w:r>
    </w:p>
    <w:p w:rsidR="00A830CD" w:rsidRPr="00AF099F" w:rsidRDefault="00A830CD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 xml:space="preserve">-поддержка </w:t>
      </w:r>
      <w:r w:rsidR="0067773B" w:rsidRPr="00AF099F">
        <w:rPr>
          <w:rFonts w:ascii="Arial" w:hAnsi="Arial" w:cs="Arial"/>
          <w:sz w:val="24"/>
          <w:szCs w:val="24"/>
        </w:rPr>
        <w:t>реализации федеральной программы</w:t>
      </w:r>
      <w:r w:rsidR="004447B4">
        <w:rPr>
          <w:rFonts w:ascii="Arial" w:hAnsi="Arial" w:cs="Arial"/>
          <w:sz w:val="24"/>
          <w:szCs w:val="24"/>
        </w:rPr>
        <w:t xml:space="preserve"> (направление программы</w:t>
      </w:r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A830CD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программы ре</w:t>
      </w:r>
      <w:r w:rsidR="004447B4">
        <w:rPr>
          <w:rFonts w:ascii="Arial" w:hAnsi="Arial" w:cs="Arial"/>
          <w:sz w:val="24"/>
          <w:szCs w:val="24"/>
        </w:rPr>
        <w:t>гионального развития (кейс-стади</w:t>
      </w:r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67773B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муниципальной программы (кейс-стади по выбору студента)</w:t>
      </w:r>
    </w:p>
    <w:p w:rsidR="0024645A" w:rsidRPr="00AF099F" w:rsidRDefault="0024645A" w:rsidP="0024645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 w:rsidRPr="002464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поддержка </w:t>
      </w:r>
      <w:r w:rsidRPr="00AF099F">
        <w:rPr>
          <w:rFonts w:ascii="Arial" w:hAnsi="Arial" w:cs="Arial"/>
          <w:sz w:val="24"/>
          <w:szCs w:val="24"/>
        </w:rPr>
        <w:t xml:space="preserve">реализации </w:t>
      </w:r>
      <w:r>
        <w:rPr>
          <w:rFonts w:ascii="Arial" w:hAnsi="Arial" w:cs="Arial"/>
          <w:sz w:val="24"/>
          <w:szCs w:val="24"/>
        </w:rPr>
        <w:t>федеральной/региональной/</w:t>
      </w:r>
      <w:r w:rsidRPr="00AF099F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AF099F">
        <w:rPr>
          <w:rFonts w:ascii="Arial" w:hAnsi="Arial" w:cs="Arial"/>
          <w:sz w:val="24"/>
          <w:szCs w:val="24"/>
        </w:rPr>
        <w:t>в онлайн-среде</w:t>
      </w:r>
      <w:r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</w:rPr>
        <w:t>(кейс-стади 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федеральной программы (по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региональной программы (по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муниципальной программы (по выбору студента)</w:t>
      </w:r>
    </w:p>
    <w:p w:rsidR="00241301" w:rsidRDefault="00241301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федеральной, региональной, муниципальной программы (по выбору студента) в онлайн-среде</w:t>
      </w:r>
    </w:p>
    <w:p w:rsidR="00812E59" w:rsidRDefault="00812E59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-поддержка проектов государственно-частного партнерства (зарубежный опыт)</w:t>
      </w:r>
    </w:p>
    <w:p w:rsidR="0067773B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Информационное сопровождение административной реформы в России</w:t>
      </w:r>
    </w:p>
    <w:p w:rsidR="0067773B" w:rsidRPr="00AF099F" w:rsidRDefault="00241301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 информатизации в России</w:t>
      </w:r>
    </w:p>
    <w:p w:rsidR="00241301" w:rsidRDefault="00F20E96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PR-сопровождение программ развития информационного общества и предоставления электронных услуг</w:t>
      </w:r>
      <w:r w:rsidR="00990AD1">
        <w:rPr>
          <w:rFonts w:ascii="Arial" w:hAnsi="Arial" w:cs="Arial"/>
          <w:sz w:val="24"/>
          <w:szCs w:val="24"/>
        </w:rPr>
        <w:t xml:space="preserve"> в регионе (кейс-стади по выбору студента)</w:t>
      </w:r>
    </w:p>
    <w:p w:rsidR="00990AD1" w:rsidRDefault="00990AD1" w:rsidP="00990A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</w:t>
      </w:r>
      <w:r w:rsidRPr="00990AD1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990A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990AD1">
        <w:rPr>
          <w:rFonts w:ascii="Arial" w:hAnsi="Arial" w:cs="Arial"/>
          <w:sz w:val="24"/>
          <w:szCs w:val="24"/>
        </w:rPr>
        <w:t xml:space="preserve">опровождения программ развития электронного правительства </w:t>
      </w:r>
      <w:r>
        <w:rPr>
          <w:rFonts w:ascii="Arial" w:hAnsi="Arial" w:cs="Arial"/>
          <w:sz w:val="24"/>
          <w:szCs w:val="24"/>
        </w:rPr>
        <w:t>в регионе (по выбору студента)</w:t>
      </w:r>
    </w:p>
    <w:p w:rsidR="000302C1" w:rsidRPr="00AF099F" w:rsidRDefault="000302C1" w:rsidP="00990A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02C1">
        <w:rPr>
          <w:rFonts w:ascii="Arial" w:hAnsi="Arial" w:cs="Arial"/>
          <w:sz w:val="24"/>
          <w:szCs w:val="24"/>
        </w:rPr>
        <w:t>Маркетинговые стратегии и PR-инструменты</w:t>
      </w:r>
      <w:r>
        <w:rPr>
          <w:rFonts w:ascii="Arial" w:hAnsi="Arial" w:cs="Arial"/>
          <w:sz w:val="24"/>
          <w:szCs w:val="24"/>
        </w:rPr>
        <w:t xml:space="preserve"> сопровождения программ </w:t>
      </w:r>
      <w:r w:rsidRPr="000302C1">
        <w:rPr>
          <w:rFonts w:ascii="Arial" w:hAnsi="Arial" w:cs="Arial"/>
          <w:sz w:val="24"/>
          <w:szCs w:val="24"/>
        </w:rPr>
        <w:t>продвижения территории</w:t>
      </w:r>
      <w:r w:rsidR="006954C4">
        <w:rPr>
          <w:rFonts w:ascii="Arial" w:hAnsi="Arial" w:cs="Arial"/>
          <w:sz w:val="24"/>
          <w:szCs w:val="24"/>
        </w:rPr>
        <w:t xml:space="preserve"> (в онлайн/офлайн-среде по выбору студента)</w:t>
      </w:r>
    </w:p>
    <w:p w:rsidR="0067773B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Интернет-представительство региональной администрации</w:t>
      </w:r>
      <w:r w:rsidR="00C71691" w:rsidRPr="00AF099F">
        <w:rPr>
          <w:rFonts w:ascii="Arial" w:hAnsi="Arial" w:cs="Arial"/>
          <w:sz w:val="24"/>
          <w:szCs w:val="24"/>
        </w:rPr>
        <w:t>/муниципалитета</w:t>
      </w:r>
      <w:r w:rsidRPr="00AF099F">
        <w:rPr>
          <w:rFonts w:ascii="Arial" w:hAnsi="Arial" w:cs="Arial"/>
          <w:sz w:val="24"/>
          <w:szCs w:val="24"/>
        </w:rPr>
        <w:t xml:space="preserve"> как средство управления общественным мнением</w:t>
      </w:r>
    </w:p>
    <w:p w:rsidR="00387B90" w:rsidRPr="00AF099F" w:rsidRDefault="00387B90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Технологии и методы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387B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продвижения государственных информационных ресурсов</w:t>
      </w:r>
    </w:p>
    <w:p w:rsidR="0067773B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Публичные коммуникации органов государственной власти</w:t>
      </w:r>
      <w:r w:rsidR="00387B90">
        <w:rPr>
          <w:rFonts w:ascii="Arial" w:hAnsi="Arial" w:cs="Arial"/>
          <w:sz w:val="24"/>
          <w:szCs w:val="24"/>
        </w:rPr>
        <w:t xml:space="preserve"> (по выбору студента)</w:t>
      </w:r>
      <w:r w:rsidRPr="00AF099F">
        <w:rPr>
          <w:rFonts w:ascii="Arial" w:hAnsi="Arial" w:cs="Arial"/>
          <w:sz w:val="24"/>
          <w:szCs w:val="24"/>
        </w:rPr>
        <w:t xml:space="preserve"> в пространстве </w:t>
      </w:r>
      <w:r w:rsidRPr="00AF099F">
        <w:rPr>
          <w:rFonts w:ascii="Arial" w:hAnsi="Arial" w:cs="Arial"/>
          <w:sz w:val="24"/>
          <w:szCs w:val="24"/>
          <w:lang w:val="en-US"/>
        </w:rPr>
        <w:t>Web</w:t>
      </w:r>
      <w:r w:rsidRPr="00AF099F">
        <w:rPr>
          <w:rFonts w:ascii="Arial" w:hAnsi="Arial" w:cs="Arial"/>
          <w:sz w:val="24"/>
          <w:szCs w:val="24"/>
        </w:rPr>
        <w:t xml:space="preserve"> 2.0</w:t>
      </w:r>
      <w:r w:rsidR="00435348">
        <w:rPr>
          <w:rFonts w:ascii="Arial" w:hAnsi="Arial" w:cs="Arial"/>
          <w:sz w:val="24"/>
          <w:szCs w:val="24"/>
        </w:rPr>
        <w:t>: анализ блогов и социальных сетей</w:t>
      </w:r>
    </w:p>
    <w:p w:rsidR="00173974" w:rsidRDefault="00173974" w:rsidP="00AF099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99F" w:rsidRPr="00AF099F" w:rsidRDefault="00AF099F" w:rsidP="00AF099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Рекомендуемая литература</w:t>
      </w:r>
    </w:p>
    <w:p w:rsidR="00173974" w:rsidRPr="00AF099F" w:rsidRDefault="00173974" w:rsidP="0067773B">
      <w:pPr>
        <w:rPr>
          <w:rFonts w:ascii="Arial" w:hAnsi="Arial" w:cs="Arial"/>
          <w:sz w:val="24"/>
          <w:szCs w:val="24"/>
        </w:rPr>
      </w:pPr>
    </w:p>
    <w:p w:rsidR="002226A6" w:rsidRPr="0088267E" w:rsidRDefault="002226A6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Володенков С.В. Управление современными политическими кампаниями. М. 2012.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 xml:space="preserve">Глазунова Н. И. Система государственного </w:t>
      </w:r>
      <w:r w:rsidR="00AA5A23">
        <w:rPr>
          <w:rFonts w:ascii="Arial" w:hAnsi="Arial" w:cs="Arial"/>
          <w:sz w:val="24"/>
          <w:szCs w:val="24"/>
        </w:rPr>
        <w:t>и муниципального управления. М., 2009</w:t>
      </w:r>
      <w:r w:rsidRPr="00AF099F">
        <w:rPr>
          <w:rFonts w:ascii="Arial" w:hAnsi="Arial" w:cs="Arial"/>
          <w:sz w:val="24"/>
          <w:szCs w:val="24"/>
        </w:rPr>
        <w:t>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Государственная служба</w:t>
      </w:r>
      <w:r w:rsidR="009C7997">
        <w:rPr>
          <w:rFonts w:ascii="Arial" w:hAnsi="Arial" w:cs="Arial"/>
          <w:sz w:val="24"/>
          <w:szCs w:val="24"/>
        </w:rPr>
        <w:t xml:space="preserve"> России</w:t>
      </w:r>
      <w:r w:rsidRPr="00AF099F">
        <w:rPr>
          <w:rFonts w:ascii="Arial" w:hAnsi="Arial" w:cs="Arial"/>
          <w:sz w:val="24"/>
          <w:szCs w:val="24"/>
        </w:rPr>
        <w:t>: диалог с обществом</w:t>
      </w:r>
      <w:r w:rsidR="009C7997">
        <w:rPr>
          <w:rFonts w:ascii="Arial" w:hAnsi="Arial" w:cs="Arial"/>
          <w:sz w:val="24"/>
          <w:szCs w:val="24"/>
        </w:rPr>
        <w:t xml:space="preserve"> /под ред</w:t>
      </w:r>
      <w:r w:rsidRPr="00AF099F">
        <w:rPr>
          <w:rFonts w:ascii="Arial" w:hAnsi="Arial" w:cs="Arial"/>
          <w:sz w:val="24"/>
          <w:szCs w:val="24"/>
        </w:rPr>
        <w:t xml:space="preserve">. </w:t>
      </w:r>
      <w:r w:rsidR="009C7997">
        <w:rPr>
          <w:rFonts w:ascii="Arial" w:hAnsi="Arial" w:cs="Arial"/>
          <w:sz w:val="24"/>
          <w:szCs w:val="24"/>
        </w:rPr>
        <w:t xml:space="preserve">В.С. Комаровского. </w:t>
      </w:r>
      <w:r w:rsidRPr="00AF099F">
        <w:rPr>
          <w:rFonts w:ascii="Arial" w:hAnsi="Arial" w:cs="Arial"/>
          <w:sz w:val="24"/>
          <w:szCs w:val="24"/>
        </w:rPr>
        <w:t>М., 1998.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Грачев М.Н. Политическая коммуникация: теоретические концепции, модели, векторы </w:t>
      </w:r>
      <w:r w:rsidR="009C7997">
        <w:rPr>
          <w:rFonts w:ascii="Arial" w:eastAsia="Times New Roman" w:hAnsi="Arial" w:cs="Arial"/>
          <w:sz w:val="24"/>
          <w:szCs w:val="24"/>
          <w:lang w:eastAsia="ru-RU"/>
        </w:rPr>
        <w:t>развития. М.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, 2004.</w:t>
      </w:r>
    </w:p>
    <w:p w:rsidR="000D4B19" w:rsidRP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>Гринберг Т.Э. Политические технологии: ПР и</w:t>
      </w:r>
      <w:r w:rsidR="009C7997">
        <w:rPr>
          <w:rFonts w:ascii="Arial" w:eastAsia="Times New Roman" w:hAnsi="Arial" w:cs="Arial"/>
          <w:sz w:val="24"/>
          <w:szCs w:val="24"/>
          <w:lang w:eastAsia="ru-RU"/>
        </w:rPr>
        <w:t xml:space="preserve"> реклама. М.</w:t>
      </w:r>
      <w:r w:rsidR="002818C3">
        <w:rPr>
          <w:rFonts w:ascii="Arial" w:eastAsia="Times New Roman" w:hAnsi="Arial" w:cs="Arial"/>
          <w:sz w:val="24"/>
          <w:szCs w:val="24"/>
          <w:lang w:eastAsia="ru-RU"/>
        </w:rPr>
        <w:t>, 2012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1DA3" w:rsidRPr="00911DA3" w:rsidRDefault="00911DA3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11DA3">
        <w:rPr>
          <w:rFonts w:ascii="Arial" w:eastAsia="Courier New" w:hAnsi="Arial" w:cs="Arial"/>
          <w:sz w:val="24"/>
          <w:szCs w:val="24"/>
          <w:lang w:eastAsia="ru-RU"/>
        </w:rPr>
        <w:t>Егорова-Гантман Е., Плешаков К. Политическая реклама. М., 1999.</w:t>
      </w:r>
    </w:p>
    <w:p w:rsidR="003F0BB4" w:rsidRPr="00911DA3" w:rsidRDefault="003F0BB4" w:rsidP="003F0BB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D4B19">
        <w:rPr>
          <w:rFonts w:ascii="Arial" w:hAnsi="Arial" w:cs="Arial"/>
          <w:bCs/>
          <w:sz w:val="24"/>
          <w:szCs w:val="24"/>
        </w:rPr>
        <w:t>Комаровский В. С.</w:t>
      </w:r>
      <w:r w:rsidR="009C7997">
        <w:rPr>
          <w:rFonts w:ascii="Arial" w:hAnsi="Arial" w:cs="Arial"/>
          <w:bCs/>
          <w:sz w:val="24"/>
          <w:szCs w:val="24"/>
        </w:rPr>
        <w:t xml:space="preserve"> Государственная Служба и СМИ.</w:t>
      </w:r>
      <w:r w:rsidRPr="000D4B19">
        <w:rPr>
          <w:rFonts w:ascii="Arial" w:hAnsi="Arial" w:cs="Arial"/>
          <w:bCs/>
          <w:sz w:val="24"/>
          <w:szCs w:val="24"/>
        </w:rPr>
        <w:t xml:space="preserve"> Воронеж. Издательство ВГУ, 2003</w:t>
      </w:r>
    </w:p>
    <w:p w:rsidR="000D4B19" w:rsidRDefault="000D4B19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Лебедева Т. «Паблик рилейшнз». Корпоративная и политическая режиссура. М., 1999.</w:t>
      </w:r>
    </w:p>
    <w:p w:rsidR="00AA5A23" w:rsidRDefault="00AA5A23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sz w:val="24"/>
          <w:szCs w:val="24"/>
          <w:lang w:eastAsia="ru-RU"/>
        </w:rPr>
        <w:t>Лиллекер Д. Политическая коммуникация. Ключевые концепты. М., 2010</w:t>
      </w:r>
    </w:p>
    <w:p w:rsidR="00910806" w:rsidRDefault="00910806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sz w:val="24"/>
          <w:szCs w:val="24"/>
          <w:lang w:eastAsia="ru-RU"/>
        </w:rPr>
        <w:t>Недяк И.Л. Политический маркетинг. Основы теории. М., 2008</w:t>
      </w:r>
    </w:p>
    <w:p w:rsidR="009C7997" w:rsidRPr="00911DA3" w:rsidRDefault="009C7997" w:rsidP="009C7997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C7997">
        <w:rPr>
          <w:rFonts w:ascii="Arial" w:eastAsia="Courier New" w:hAnsi="Arial" w:cs="Arial"/>
          <w:sz w:val="24"/>
          <w:szCs w:val="24"/>
          <w:lang w:eastAsia="ru-RU"/>
        </w:rPr>
        <w:t>Интернет-проект «Федеральные целевые программы России» http://fcp.economy.gov.ru</w:t>
      </w:r>
    </w:p>
    <w:p w:rsidR="00911DA3" w:rsidRDefault="00911DA3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>Ольшанский Д.В. Политический PR. СПб.: Питер, 2003.</w:t>
      </w:r>
    </w:p>
    <w:p w:rsidR="00375E2A" w:rsidRPr="00911DA3" w:rsidRDefault="00375E2A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Политические коммуникации /под ред. А.И. Соловьева. М., 2004.</w:t>
      </w:r>
    </w:p>
    <w:p w:rsidR="0082620B" w:rsidRPr="00911DA3" w:rsidRDefault="00176CC9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Политология /</w:t>
      </w:r>
      <w:r w:rsidR="0082620B" w:rsidRPr="0082620B">
        <w:rPr>
          <w:rFonts w:ascii="Arial" w:eastAsia="Times New Roman" w:hAnsi="Arial" w:cs="Arial"/>
          <w:sz w:val="24"/>
          <w:szCs w:val="24"/>
          <w:lang w:eastAsia="ru-RU"/>
        </w:rPr>
        <w:t xml:space="preserve">под ред. </w:t>
      </w:r>
      <w:r w:rsidR="0082620B" w:rsidRPr="00176CC9">
        <w:rPr>
          <w:rFonts w:ascii="Arial" w:eastAsia="Times New Roman" w:hAnsi="Arial" w:cs="Arial"/>
          <w:sz w:val="24"/>
          <w:szCs w:val="24"/>
          <w:lang w:eastAsia="ru-RU"/>
        </w:rPr>
        <w:t>Василика М.А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М., 2009.</w:t>
      </w:r>
    </w:p>
    <w:p w:rsidR="00911DA3" w:rsidRPr="00911DA3" w:rsidRDefault="00911DA3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11DA3">
        <w:rPr>
          <w:rFonts w:ascii="Arial" w:eastAsia="Courier New" w:hAnsi="Arial" w:cs="Arial"/>
          <w:sz w:val="24"/>
          <w:szCs w:val="24"/>
          <w:lang w:eastAsia="ru-RU"/>
        </w:rPr>
        <w:t>Попова О.В. Методика и техника прикладных политических исследований. СПб., 2002.</w:t>
      </w:r>
    </w:p>
    <w:p w:rsidR="00911DA3" w:rsidRDefault="00911DA3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911DA3">
        <w:rPr>
          <w:rFonts w:ascii="Arial" w:eastAsia="Calibri" w:hAnsi="Arial" w:cs="Arial"/>
          <w:sz w:val="24"/>
          <w:szCs w:val="24"/>
        </w:rPr>
        <w:t>Русаков А. Ю. Связи с общественностью в органах государственной власти. СПб.,2006.</w:t>
      </w:r>
    </w:p>
    <w:p w:rsidR="00906A16" w:rsidRPr="00906A16" w:rsidRDefault="00906A16" w:rsidP="00906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06A16">
        <w:rPr>
          <w:rFonts w:ascii="Arial" w:eastAsia="Calibri" w:hAnsi="Arial" w:cs="Arial"/>
          <w:sz w:val="24"/>
          <w:szCs w:val="24"/>
        </w:rPr>
        <w:t>Рэйни Хэл Дж. Анализ и управление в государственных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A16">
        <w:rPr>
          <w:rFonts w:ascii="Arial" w:eastAsia="Calibri" w:hAnsi="Arial" w:cs="Arial"/>
          <w:sz w:val="24"/>
          <w:szCs w:val="24"/>
        </w:rPr>
        <w:t>организаци</w:t>
      </w:r>
      <w:r>
        <w:rPr>
          <w:rFonts w:ascii="Arial" w:eastAsia="Calibri" w:hAnsi="Arial" w:cs="Arial"/>
          <w:sz w:val="24"/>
          <w:szCs w:val="24"/>
        </w:rPr>
        <w:t xml:space="preserve">ях / Пер. с англ. </w:t>
      </w:r>
      <w:r w:rsidRPr="00906A16">
        <w:rPr>
          <w:rFonts w:ascii="Arial" w:eastAsia="Calibri" w:hAnsi="Arial" w:cs="Arial"/>
          <w:sz w:val="24"/>
          <w:szCs w:val="24"/>
        </w:rPr>
        <w:t>М., 2004.</w:t>
      </w:r>
    </w:p>
    <w:p w:rsidR="000D4B19" w:rsidRPr="00911DA3" w:rsidRDefault="00222B2E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222B2E">
        <w:rPr>
          <w:rFonts w:ascii="Arial" w:eastAsia="Calibri" w:hAnsi="Arial" w:cs="Arial"/>
          <w:sz w:val="24"/>
          <w:szCs w:val="24"/>
        </w:rPr>
        <w:t>Связи с общественностью в политике и государственном управлении /  Под ред. В.С. Комаровского. М., 2001</w:t>
      </w:r>
    </w:p>
    <w:p w:rsidR="00911DA3" w:rsidRDefault="00911DA3" w:rsidP="00911D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Соловьев А.И. Политология: политическая теория, </w:t>
      </w:r>
      <w:r w:rsidR="00FB7D61">
        <w:rPr>
          <w:rFonts w:ascii="Arial" w:eastAsia="Times New Roman" w:hAnsi="Arial" w:cs="Arial"/>
          <w:sz w:val="24"/>
          <w:szCs w:val="24"/>
          <w:lang w:eastAsia="ru-RU"/>
        </w:rPr>
        <w:t>политические технологии М., 2010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4B19" w:rsidRPr="000D4B19" w:rsidRDefault="000D4B19" w:rsidP="00911DA3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D4B19">
        <w:rPr>
          <w:rFonts w:ascii="Arial" w:hAnsi="Arial" w:cs="Arial"/>
          <w:sz w:val="24"/>
          <w:szCs w:val="24"/>
        </w:rPr>
        <w:t>Соловьев А.И.  Принятие государственных решени</w:t>
      </w:r>
      <w:r w:rsidR="009C7997">
        <w:rPr>
          <w:rFonts w:ascii="Arial" w:hAnsi="Arial" w:cs="Arial"/>
          <w:sz w:val="24"/>
          <w:szCs w:val="24"/>
        </w:rPr>
        <w:t>й. М.</w:t>
      </w:r>
      <w:r w:rsidR="00910806">
        <w:rPr>
          <w:rFonts w:ascii="Arial" w:hAnsi="Arial" w:cs="Arial"/>
          <w:sz w:val="24"/>
          <w:szCs w:val="24"/>
        </w:rPr>
        <w:t>, 2009</w:t>
      </w:r>
      <w:r w:rsidRPr="000D4B19">
        <w:rPr>
          <w:rFonts w:ascii="Arial" w:hAnsi="Arial" w:cs="Arial"/>
          <w:sz w:val="24"/>
          <w:szCs w:val="24"/>
        </w:rPr>
        <w:t>.</w:t>
      </w:r>
    </w:p>
    <w:p w:rsidR="00911DA3" w:rsidRPr="005345FA" w:rsidRDefault="00911DA3" w:rsidP="00911DA3">
      <w:pPr>
        <w:pStyle w:val="a3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45FA">
        <w:rPr>
          <w:rFonts w:ascii="Arial" w:eastAsia="Times New Roman" w:hAnsi="Arial" w:cs="Arial"/>
          <w:sz w:val="24"/>
          <w:szCs w:val="24"/>
          <w:lang w:eastAsia="ar-SA"/>
        </w:rPr>
        <w:t>Государственная политика и управление. Учебник в 2 ч./Под р</w:t>
      </w:r>
      <w:r w:rsidR="003011A8">
        <w:rPr>
          <w:rFonts w:ascii="Arial" w:eastAsia="Times New Roman" w:hAnsi="Arial" w:cs="Arial"/>
          <w:sz w:val="24"/>
          <w:szCs w:val="24"/>
          <w:lang w:eastAsia="ar-SA"/>
        </w:rPr>
        <w:t>ед. Л.В. Сморгунова. М.</w:t>
      </w:r>
      <w:r w:rsidRPr="005345FA">
        <w:rPr>
          <w:rFonts w:ascii="Arial" w:eastAsia="Times New Roman" w:hAnsi="Arial" w:cs="Arial"/>
          <w:sz w:val="24"/>
          <w:szCs w:val="24"/>
          <w:lang w:eastAsia="ar-SA"/>
        </w:rPr>
        <w:t xml:space="preserve">, 2007. </w:t>
      </w:r>
    </w:p>
    <w:p w:rsidR="00911DA3" w:rsidRPr="00911DA3" w:rsidRDefault="00911DA3" w:rsidP="00911DA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1DA3">
        <w:rPr>
          <w:rFonts w:ascii="Arial" w:eastAsia="Times New Roman" w:hAnsi="Arial" w:cs="Arial"/>
          <w:sz w:val="24"/>
          <w:szCs w:val="24"/>
          <w:lang w:eastAsia="ar-SA"/>
        </w:rPr>
        <w:t xml:space="preserve">Ноэль-Нойман Э. Общественное мнение: Открытые спирали молчания. - М., 1996. </w:t>
      </w:r>
    </w:p>
    <w:p w:rsidR="000D4B19" w:rsidRDefault="000D4B19" w:rsidP="00911DA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099F">
        <w:rPr>
          <w:rFonts w:ascii="Arial" w:hAnsi="Arial" w:cs="Arial"/>
          <w:sz w:val="24"/>
          <w:szCs w:val="24"/>
        </w:rPr>
        <w:t xml:space="preserve">Чумиков А.Н., Бочаров М.П. Связи с общественностью: </w:t>
      </w:r>
      <w:r w:rsidR="00C26D19">
        <w:rPr>
          <w:rFonts w:ascii="Arial" w:hAnsi="Arial" w:cs="Arial"/>
          <w:sz w:val="24"/>
          <w:szCs w:val="24"/>
        </w:rPr>
        <w:t xml:space="preserve">теория и практика: </w:t>
      </w:r>
      <w:r w:rsidR="00C840FF">
        <w:rPr>
          <w:rFonts w:ascii="Arial" w:hAnsi="Arial" w:cs="Arial"/>
          <w:sz w:val="24"/>
          <w:szCs w:val="24"/>
        </w:rPr>
        <w:t>М., 2010</w:t>
      </w:r>
      <w:r w:rsidRPr="00AF099F">
        <w:rPr>
          <w:rFonts w:ascii="Arial" w:hAnsi="Arial" w:cs="Arial"/>
          <w:sz w:val="24"/>
          <w:szCs w:val="24"/>
        </w:rPr>
        <w:t>.</w:t>
      </w:r>
    </w:p>
    <w:p w:rsidR="004A3D13" w:rsidRDefault="004A3D13" w:rsidP="004A3D1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099F">
        <w:rPr>
          <w:rFonts w:ascii="Arial" w:hAnsi="Arial" w:cs="Arial"/>
          <w:sz w:val="24"/>
          <w:szCs w:val="24"/>
        </w:rPr>
        <w:t xml:space="preserve">Чумиков А.Н., Бочаров М.П. </w:t>
      </w:r>
      <w:r w:rsidRPr="004A3D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Государственный PR: связи с общественностью для государственных организаций и проектов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М., 2012.</w:t>
      </w:r>
    </w:p>
    <w:p w:rsidR="0067773B" w:rsidRPr="001B54DA" w:rsidRDefault="00176CC9" w:rsidP="001B54DA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GR-связи с государством. Теория, практика и механизмы взаимодействия бизнеса и гражданского общества с государством / Под ред. Л. Сморгунова и Л.Тимофеевой. М., 2012.</w:t>
      </w:r>
    </w:p>
    <w:sectPr w:rsidR="0067773B" w:rsidRPr="001B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035"/>
    <w:multiLevelType w:val="hybridMultilevel"/>
    <w:tmpl w:val="8304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9C7"/>
    <w:multiLevelType w:val="hybridMultilevel"/>
    <w:tmpl w:val="3162D66C"/>
    <w:lvl w:ilvl="0" w:tplc="3E0E10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D0D7FD1"/>
    <w:multiLevelType w:val="hybridMultilevel"/>
    <w:tmpl w:val="A4F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45C"/>
    <w:multiLevelType w:val="hybridMultilevel"/>
    <w:tmpl w:val="B654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76B09"/>
    <w:multiLevelType w:val="hybridMultilevel"/>
    <w:tmpl w:val="2F10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EF"/>
    <w:rsid w:val="00001EEA"/>
    <w:rsid w:val="000249BB"/>
    <w:rsid w:val="000302C1"/>
    <w:rsid w:val="000A1A19"/>
    <w:rsid w:val="000D4B19"/>
    <w:rsid w:val="001117B3"/>
    <w:rsid w:val="00141E04"/>
    <w:rsid w:val="00173974"/>
    <w:rsid w:val="00176CC9"/>
    <w:rsid w:val="001B54DA"/>
    <w:rsid w:val="002226A6"/>
    <w:rsid w:val="00222B2E"/>
    <w:rsid w:val="00241301"/>
    <w:rsid w:val="0024645A"/>
    <w:rsid w:val="002818C3"/>
    <w:rsid w:val="002915B4"/>
    <w:rsid w:val="002E7F8D"/>
    <w:rsid w:val="002F3631"/>
    <w:rsid w:val="002F679A"/>
    <w:rsid w:val="003011A8"/>
    <w:rsid w:val="00367FB9"/>
    <w:rsid w:val="00375E2A"/>
    <w:rsid w:val="00387B90"/>
    <w:rsid w:val="003E5EE6"/>
    <w:rsid w:val="003F0BB4"/>
    <w:rsid w:val="00400B51"/>
    <w:rsid w:val="00435348"/>
    <w:rsid w:val="004447B4"/>
    <w:rsid w:val="00460BB3"/>
    <w:rsid w:val="004739BD"/>
    <w:rsid w:val="004A3D13"/>
    <w:rsid w:val="005345FA"/>
    <w:rsid w:val="00542101"/>
    <w:rsid w:val="005640E3"/>
    <w:rsid w:val="005A2684"/>
    <w:rsid w:val="00671B25"/>
    <w:rsid w:val="0067773B"/>
    <w:rsid w:val="006954C4"/>
    <w:rsid w:val="006E67F1"/>
    <w:rsid w:val="00713A08"/>
    <w:rsid w:val="00720D65"/>
    <w:rsid w:val="00726FCA"/>
    <w:rsid w:val="007C23F5"/>
    <w:rsid w:val="00812E59"/>
    <w:rsid w:val="0082620B"/>
    <w:rsid w:val="008405E0"/>
    <w:rsid w:val="00862864"/>
    <w:rsid w:val="008742C3"/>
    <w:rsid w:val="0088267E"/>
    <w:rsid w:val="008B0C23"/>
    <w:rsid w:val="00906A16"/>
    <w:rsid w:val="009106A8"/>
    <w:rsid w:val="00910806"/>
    <w:rsid w:val="00911DA3"/>
    <w:rsid w:val="00976453"/>
    <w:rsid w:val="00990AD1"/>
    <w:rsid w:val="009C7997"/>
    <w:rsid w:val="00A457F1"/>
    <w:rsid w:val="00A830CD"/>
    <w:rsid w:val="00AA5A23"/>
    <w:rsid w:val="00AA775E"/>
    <w:rsid w:val="00AE059D"/>
    <w:rsid w:val="00AF099F"/>
    <w:rsid w:val="00B57FEF"/>
    <w:rsid w:val="00BA4602"/>
    <w:rsid w:val="00C26D19"/>
    <w:rsid w:val="00C71691"/>
    <w:rsid w:val="00C840FF"/>
    <w:rsid w:val="00C96A45"/>
    <w:rsid w:val="00CE6790"/>
    <w:rsid w:val="00DB32EF"/>
    <w:rsid w:val="00E9159C"/>
    <w:rsid w:val="00E91829"/>
    <w:rsid w:val="00F20E96"/>
    <w:rsid w:val="00F71B30"/>
    <w:rsid w:val="00FB7D61"/>
    <w:rsid w:val="00FC0F75"/>
    <w:rsid w:val="00FE5BB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Кафедра PR в политике</cp:lastModifiedBy>
  <cp:revision>2</cp:revision>
  <dcterms:created xsi:type="dcterms:W3CDTF">2013-12-10T06:21:00Z</dcterms:created>
  <dcterms:modified xsi:type="dcterms:W3CDTF">2013-12-10T06:21:00Z</dcterms:modified>
</cp:coreProperties>
</file>